
<file path=[Content_Types].xml><?xml version="1.0" encoding="utf-8"?>
<Types xmlns="http://schemas.openxmlformats.org/package/2006/content-types">
  <Default Extension="xlsx" ContentType="application/vnd.openxmlformats-officedocument.spreadsheetml.sheet"/>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sz w:val="32"/>
          <w:szCs w:val="32"/>
        </w:rPr>
      </w:pPr>
      <w:r>
        <w:rPr>
          <w:rFonts w:ascii="Times New Roman" w:hAnsi="Times New Roman" w:cs="Times New Roman"/>
          <w:sz w:val="32"/>
          <w:szCs w:val="32"/>
        </w:rPr>
        <w:t xml:space="preserve">Совета депутатов Новошипуновского сельсовета </w:t>
      </w:r>
    </w:p>
    <w:p>
      <w:pPr>
        <w:jc w:val="center"/>
        <w:rPr>
          <w:rFonts w:ascii="Times New Roman" w:hAnsi="Times New Roman" w:cs="Times New Roman"/>
          <w:sz w:val="32"/>
          <w:szCs w:val="32"/>
        </w:rPr>
      </w:pPr>
      <w:r>
        <w:rPr>
          <w:rFonts w:ascii="Times New Roman" w:hAnsi="Times New Roman" w:cs="Times New Roman"/>
          <w:sz w:val="32"/>
          <w:szCs w:val="32"/>
        </w:rPr>
        <w:t>Краснощёковского района Алтайского края</w:t>
      </w:r>
    </w:p>
    <w:p>
      <w:pPr>
        <w:pStyle w:val="7"/>
        <w:autoSpaceDE w:val="0"/>
        <w:autoSpaceDN w:val="0"/>
        <w:adjustRightInd w:val="0"/>
        <w:spacing w:after="0" w:line="240" w:lineRule="auto"/>
        <w:ind w:left="426"/>
        <w:jc w:val="center"/>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jc w:val="center"/>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 xml:space="preserve">РЕШЕНИЕ </w:t>
      </w:r>
    </w:p>
    <w:p>
      <w:pPr>
        <w:pStyle w:val="7"/>
        <w:autoSpaceDE w:val="0"/>
        <w:autoSpaceDN w:val="0"/>
        <w:adjustRightInd w:val="0"/>
        <w:spacing w:after="0" w:line="240" w:lineRule="auto"/>
        <w:ind w:left="426"/>
        <w:jc w:val="center"/>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jc w:val="center"/>
        <w:rPr>
          <w:rFonts w:hint="default" w:ascii="Times New Roman" w:hAnsi="Times New Roman" w:eastAsia="TimesNewRomanPS-BoldMT" w:cs="Times New Roman"/>
          <w:bCs/>
          <w:sz w:val="28"/>
          <w:szCs w:val="28"/>
          <w:lang w:val="ru-RU"/>
        </w:rPr>
      </w:pPr>
      <w:r>
        <w:rPr>
          <w:rFonts w:ascii="Times New Roman" w:hAnsi="Times New Roman" w:eastAsia="TimesNewRomanPS-BoldMT" w:cs="Times New Roman"/>
          <w:bCs/>
          <w:sz w:val="28"/>
          <w:szCs w:val="28"/>
          <w:lang w:val="ru-RU"/>
        </w:rPr>
        <w:t>о</w:t>
      </w:r>
      <w:r>
        <w:rPr>
          <w:rFonts w:ascii="Times New Roman" w:hAnsi="Times New Roman" w:eastAsia="TimesNewRomanPS-BoldMT" w:cs="Times New Roman"/>
          <w:bCs/>
          <w:sz w:val="28"/>
          <w:szCs w:val="28"/>
        </w:rPr>
        <w:t>т</w:t>
      </w:r>
      <w:r>
        <w:rPr>
          <w:rFonts w:hint="default" w:ascii="Times New Roman" w:hAnsi="Times New Roman" w:eastAsia="TimesNewRomanPS-BoldMT" w:cs="Times New Roman"/>
          <w:bCs/>
          <w:sz w:val="28"/>
          <w:szCs w:val="28"/>
          <w:lang w:val="ru-RU"/>
        </w:rPr>
        <w:t xml:space="preserve"> 28 марта </w:t>
      </w:r>
      <w:r>
        <w:rPr>
          <w:rFonts w:ascii="Times New Roman" w:hAnsi="Times New Roman" w:eastAsia="TimesNewRomanPS-BoldMT" w:cs="Times New Roman"/>
          <w:bCs/>
          <w:sz w:val="28"/>
          <w:szCs w:val="28"/>
        </w:rPr>
        <w:t>202</w:t>
      </w:r>
      <w:r>
        <w:rPr>
          <w:rFonts w:hint="default" w:ascii="Times New Roman" w:hAnsi="Times New Roman" w:eastAsia="TimesNewRomanPS-BoldMT" w:cs="Times New Roman"/>
          <w:bCs/>
          <w:sz w:val="28"/>
          <w:szCs w:val="28"/>
          <w:lang w:val="ru-RU"/>
        </w:rPr>
        <w:t>5</w:t>
      </w:r>
      <w:r>
        <w:rPr>
          <w:rFonts w:ascii="Times New Roman" w:hAnsi="Times New Roman" w:eastAsia="TimesNewRomanPS-BoldMT" w:cs="Times New Roman"/>
          <w:bCs/>
          <w:sz w:val="28"/>
          <w:szCs w:val="28"/>
        </w:rPr>
        <w:t xml:space="preserve"> года                                                                       №</w:t>
      </w:r>
      <w:r>
        <w:rPr>
          <w:rFonts w:hint="default" w:ascii="Times New Roman" w:hAnsi="Times New Roman" w:eastAsia="TimesNewRomanPS-BoldMT" w:cs="Times New Roman"/>
          <w:bCs/>
          <w:sz w:val="28"/>
          <w:szCs w:val="28"/>
          <w:lang w:val="ru-RU"/>
        </w:rPr>
        <w:t>39</w:t>
      </w:r>
    </w:p>
    <w:p>
      <w:pPr>
        <w:pStyle w:val="7"/>
        <w:autoSpaceDE w:val="0"/>
        <w:autoSpaceDN w:val="0"/>
        <w:adjustRightInd w:val="0"/>
        <w:spacing w:after="0" w:line="240" w:lineRule="auto"/>
        <w:ind w:left="426"/>
        <w:jc w:val="center"/>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 xml:space="preserve">с. Новошипуново </w:t>
      </w:r>
    </w:p>
    <w:p>
      <w:pPr>
        <w:pStyle w:val="7"/>
        <w:autoSpaceDE w:val="0"/>
        <w:autoSpaceDN w:val="0"/>
        <w:adjustRightInd w:val="0"/>
        <w:spacing w:after="0" w:line="240" w:lineRule="auto"/>
        <w:ind w:left="426"/>
        <w:jc w:val="center"/>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jc w:val="center"/>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Отчёт главы администрации Новошипуновского</w:t>
      </w: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сельсовета о деятельности Администрации</w:t>
      </w: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 xml:space="preserve"> Новошипуновского сельсовета Краснощёковского</w:t>
      </w: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Района Алтайского края по социально-экономическому</w:t>
      </w: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 xml:space="preserve"> развитию в 202</w:t>
      </w:r>
      <w:r>
        <w:rPr>
          <w:rFonts w:hint="default" w:ascii="Times New Roman" w:hAnsi="Times New Roman" w:eastAsia="TimesNewRomanPS-BoldMT" w:cs="Times New Roman"/>
          <w:bCs/>
          <w:sz w:val="28"/>
          <w:szCs w:val="28"/>
          <w:lang w:val="ru-RU"/>
        </w:rPr>
        <w:t>4</w:t>
      </w:r>
      <w:r>
        <w:rPr>
          <w:rFonts w:ascii="Times New Roman" w:hAnsi="Times New Roman" w:eastAsia="TimesNewRomanPS-BoldMT" w:cs="Times New Roman"/>
          <w:bCs/>
          <w:sz w:val="28"/>
          <w:szCs w:val="28"/>
        </w:rPr>
        <w:t xml:space="preserve"> году и задачах на 202</w:t>
      </w:r>
      <w:r>
        <w:rPr>
          <w:rFonts w:hint="default" w:ascii="Times New Roman" w:hAnsi="Times New Roman" w:eastAsia="TimesNewRomanPS-BoldMT" w:cs="Times New Roman"/>
          <w:bCs/>
          <w:sz w:val="28"/>
          <w:szCs w:val="28"/>
          <w:lang w:val="ru-RU"/>
        </w:rPr>
        <w:t>5</w:t>
      </w:r>
      <w:r>
        <w:rPr>
          <w:rFonts w:ascii="Times New Roman" w:hAnsi="Times New Roman" w:eastAsia="TimesNewRomanPS-BoldMT" w:cs="Times New Roman"/>
          <w:bCs/>
          <w:sz w:val="28"/>
          <w:szCs w:val="28"/>
        </w:rPr>
        <w:t xml:space="preserve"> год.</w:t>
      </w: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 xml:space="preserve">В соответствии  с Уставом муниципального образования Новошипуновский сельсовет Краснощёковского района Алтайского края, Совета депутатов Новошипуновского сельсовета </w:t>
      </w:r>
    </w:p>
    <w:p>
      <w:pPr>
        <w:pStyle w:val="7"/>
        <w:autoSpaceDE w:val="0"/>
        <w:autoSpaceDN w:val="0"/>
        <w:adjustRightInd w:val="0"/>
        <w:spacing w:after="0" w:line="240" w:lineRule="auto"/>
        <w:ind w:left="426"/>
        <w:rPr>
          <w:rFonts w:ascii="Times New Roman" w:hAnsi="Times New Roman" w:eastAsia="TimesNewRomanPS-BoldMT" w:cs="Times New Roman"/>
          <w:b/>
          <w:bCs/>
          <w:sz w:val="28"/>
          <w:szCs w:val="28"/>
        </w:rPr>
      </w:pPr>
      <w:r>
        <w:rPr>
          <w:rFonts w:ascii="Times New Roman" w:hAnsi="Times New Roman" w:eastAsia="TimesNewRomanPS-BoldMT" w:cs="Times New Roman"/>
          <w:bCs/>
          <w:sz w:val="28"/>
          <w:szCs w:val="28"/>
        </w:rPr>
        <w:t>РЕШИЛ:</w:t>
      </w: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1. Отчёт главы администрации Новошипуновского сельсовета о деятельности Администрации  Новошипуновского сельсовета Краснощёковского</w:t>
      </w: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r>
        <w:rPr>
          <w:rFonts w:ascii="Times New Roman" w:hAnsi="Times New Roman" w:eastAsia="TimesNewRomanPS-BoldMT" w:cs="Times New Roman"/>
          <w:bCs/>
          <w:sz w:val="28"/>
          <w:szCs w:val="28"/>
        </w:rPr>
        <w:t>Района Алтайского края по социально-экономическому развитию в 202</w:t>
      </w:r>
      <w:r>
        <w:rPr>
          <w:rFonts w:hint="default" w:ascii="Times New Roman" w:hAnsi="Times New Roman" w:eastAsia="TimesNewRomanPS-BoldMT" w:cs="Times New Roman"/>
          <w:bCs/>
          <w:sz w:val="28"/>
          <w:szCs w:val="28"/>
          <w:lang w:val="ru-RU"/>
        </w:rPr>
        <w:t>4</w:t>
      </w:r>
      <w:r>
        <w:rPr>
          <w:rFonts w:ascii="Times New Roman" w:hAnsi="Times New Roman" w:eastAsia="TimesNewRomanPS-BoldMT" w:cs="Times New Roman"/>
          <w:bCs/>
          <w:sz w:val="28"/>
          <w:szCs w:val="28"/>
        </w:rPr>
        <w:t xml:space="preserve"> году и задачах на 202</w:t>
      </w:r>
      <w:r>
        <w:rPr>
          <w:rFonts w:hint="default" w:ascii="Times New Roman" w:hAnsi="Times New Roman" w:eastAsia="TimesNewRomanPS-BoldMT" w:cs="Times New Roman"/>
          <w:bCs/>
          <w:sz w:val="28"/>
          <w:szCs w:val="28"/>
          <w:lang w:val="ru-RU"/>
        </w:rPr>
        <w:t>5</w:t>
      </w:r>
      <w:r>
        <w:rPr>
          <w:rFonts w:ascii="Times New Roman" w:hAnsi="Times New Roman" w:eastAsia="TimesNewRomanPS-BoldMT" w:cs="Times New Roman"/>
          <w:bCs/>
          <w:sz w:val="28"/>
          <w:szCs w:val="28"/>
        </w:rPr>
        <w:t xml:space="preserve"> год принять  к сведению.</w:t>
      </w:r>
    </w:p>
    <w:p>
      <w:pPr>
        <w:jc w:val="center"/>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rPr>
          <w:rFonts w:ascii="Times New Roman" w:hAnsi="Times New Roman" w:eastAsia="TimesNewRomanPS-BoldMT" w:cs="Times New Roman"/>
          <w:bCs/>
          <w:sz w:val="28"/>
          <w:szCs w:val="28"/>
        </w:rPr>
      </w:pPr>
    </w:p>
    <w:p>
      <w:pPr>
        <w:framePr w:hSpace="180" w:wrap="around" w:vAnchor="margin" w:hAnchor="margin" w:y="1446"/>
        <w:jc w:val="center"/>
        <w:rPr>
          <w:rFonts w:ascii="Times New Roman" w:hAnsi="Times New Roman" w:eastAsia="TimesNewRomanPS-BoldMT" w:cs="Times New Roman"/>
          <w:bCs/>
          <w:sz w:val="28"/>
          <w:szCs w:val="28"/>
        </w:rPr>
      </w:pPr>
    </w:p>
    <w:p>
      <w:pPr>
        <w:pStyle w:val="7"/>
        <w:autoSpaceDE w:val="0"/>
        <w:autoSpaceDN w:val="0"/>
        <w:adjustRightInd w:val="0"/>
        <w:spacing w:after="0" w:line="240" w:lineRule="auto"/>
        <w:ind w:left="426"/>
        <w:jc w:val="center"/>
        <w:rPr>
          <w:rFonts w:ascii="Times New Roman" w:hAnsi="Times New Roman" w:eastAsia="TimesNewRomanPS-BoldMT" w:cs="Times New Roman"/>
          <w:bCs/>
          <w:sz w:val="28"/>
          <w:szCs w:val="28"/>
        </w:rPr>
      </w:pPr>
      <w:r>
        <w:rPr>
          <w:rFonts w:ascii="Times New Roman" w:hAnsi="Times New Roman" w:cs="Times New Roman"/>
          <w:sz w:val="28"/>
          <w:szCs w:val="28"/>
        </w:rPr>
        <w:t>Глава сельсовета:                                            Е.В. Дроботова</w:t>
      </w:r>
    </w:p>
    <w:p>
      <w:pPr>
        <w:spacing w:after="0" w:line="360" w:lineRule="auto"/>
        <w:ind w:firstLine="709"/>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Администрация Новошипуновского сельсовета Краснощёковского района Алтайского края осуществляет свою деятельность на основе Устава, который регулирует организацию и осуществление местного самоуправления на территории поселения и интересах населения.</w:t>
      </w:r>
    </w:p>
    <w:p>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Доходы бюджета Администрации Новошипуновского сельсовета Краснощёковского  района формируются в соответствии с бюджетным законодательством Российской Федерации, законодательством Российской Федерации о налогах и сборах, законодательством Алтайского края о налогах и сборах, нормативно-правовыми актами районного Совета депутатов Краснощёковского района.</w:t>
      </w:r>
    </w:p>
    <w:p>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Доходы местных бюджетов формируются за счет собственных доходов и доходов за счет отчислений от федеральных и региональных налогов и сборов, а также неналоговых доходов и поступлений из краевого бюджета.</w:t>
      </w:r>
    </w:p>
    <w:p>
      <w:pPr>
        <w:spacing w:after="0" w:line="360" w:lineRule="auto"/>
        <w:ind w:firstLine="709"/>
        <w:jc w:val="both"/>
        <w:rPr>
          <w:rFonts w:ascii="Times New Roman" w:hAnsi="Times New Roman"/>
          <w:sz w:val="28"/>
          <w:szCs w:val="28"/>
        </w:rPr>
      </w:pPr>
      <w:r>
        <w:rPr>
          <w:rFonts w:ascii="Times New Roman" w:hAnsi="Times New Roman"/>
          <w:sz w:val="28"/>
          <w:szCs w:val="28"/>
        </w:rPr>
        <w:t xml:space="preserve">Бюджет муниципального образования  </w:t>
      </w:r>
      <w:r>
        <w:rPr>
          <w:rFonts w:ascii="Times New Roman" w:hAnsi="Times New Roman"/>
          <w:color w:val="000000"/>
          <w:sz w:val="28"/>
          <w:szCs w:val="28"/>
        </w:rPr>
        <w:t>Новошипуновский</w:t>
      </w:r>
      <w:r>
        <w:rPr>
          <w:rFonts w:ascii="Times New Roman" w:hAnsi="Times New Roman"/>
          <w:sz w:val="28"/>
          <w:szCs w:val="28"/>
        </w:rPr>
        <w:t xml:space="preserve"> сельсовет утвержден по доходам на 2024 год в сумме  6321857,00 руб., по расходам – 6488707,38  рублей.  </w:t>
      </w:r>
    </w:p>
    <w:p>
      <w:pPr>
        <w:spacing w:after="0" w:line="360" w:lineRule="auto"/>
        <w:ind w:firstLine="709"/>
        <w:jc w:val="both"/>
        <w:rPr>
          <w:rFonts w:ascii="Times New Roman" w:hAnsi="Times New Roman"/>
          <w:b/>
          <w:sz w:val="28"/>
          <w:szCs w:val="28"/>
        </w:rPr>
      </w:pPr>
      <w:r>
        <w:rPr>
          <w:rFonts w:ascii="Times New Roman" w:hAnsi="Times New Roman"/>
          <w:sz w:val="28"/>
          <w:szCs w:val="28"/>
        </w:rPr>
        <w:t xml:space="preserve">Фактическое  исполнение бюджета  по доходам в процентном соотношении составляет 102,6 %. </w:t>
      </w:r>
    </w:p>
    <w:p>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sz w:val="28"/>
          <w:szCs w:val="28"/>
        </w:rPr>
        <w:t xml:space="preserve">Дотации бюджетам поселений на выравнивание бюджетной обеспеченности составили  484500,00,00 рублей. </w:t>
      </w:r>
    </w:p>
    <w:p>
      <w:pPr>
        <w:spacing w:after="0" w:line="360" w:lineRule="auto"/>
        <w:ind w:firstLine="709"/>
        <w:jc w:val="both"/>
        <w:rPr>
          <w:rFonts w:ascii="Times New Roman" w:hAnsi="Times New Roman"/>
          <w:sz w:val="28"/>
          <w:szCs w:val="28"/>
        </w:rPr>
      </w:pPr>
      <w:r>
        <w:rPr>
          <w:rFonts w:ascii="Times New Roman" w:hAnsi="Times New Roman"/>
          <w:color w:val="000000"/>
          <w:sz w:val="28"/>
          <w:szCs w:val="28"/>
        </w:rPr>
        <w:t xml:space="preserve">В доходах местного бюджета Администрации Новошипуновского сельсовета преобладает значительная доля финансовой безвозмездной помощи с вышестоящего бюджета. </w:t>
      </w:r>
      <w:r>
        <w:rPr>
          <w:rFonts w:ascii="Times New Roman" w:hAnsi="Times New Roman"/>
          <w:sz w:val="28"/>
          <w:szCs w:val="28"/>
        </w:rPr>
        <w:t>При этом доля поступлений из вышестоящих бюджетов  имеет тенденцию к уменьшению с 4 354899,00   руб. в 2024 году до 4 381 406,23 руб. в 2023 году. Из них поступили межбюджетные трансферты, передаваемые бюджетам поселений на восстановление поврежденных автомобильных дорог,  на очистку дорог от снежного покрова, приобретение мусорных контейнеров, строительство площадок для мусорных контейнеров, оплату уличного освещения- в сумме  1176899,90 рублей;</w:t>
      </w:r>
    </w:p>
    <w:p>
      <w:pPr>
        <w:spacing w:after="0" w:line="360" w:lineRule="auto"/>
        <w:ind w:firstLine="709"/>
        <w:jc w:val="both"/>
        <w:rPr>
          <w:rFonts w:ascii="Times New Roman" w:hAnsi="Times New Roman"/>
          <w:sz w:val="28"/>
          <w:szCs w:val="28"/>
        </w:rPr>
      </w:pPr>
      <w:r>
        <w:rPr>
          <w:rFonts w:ascii="Times New Roman" w:hAnsi="Times New Roman"/>
          <w:sz w:val="28"/>
          <w:szCs w:val="28"/>
        </w:rPr>
        <w:t>Субвенции бюджетам бюджетной системы на осуществление первичного воинского учета 167 222,00 рублей ; прочие межбюджетные трансферты передаваемые бюджетам сельских поселений в сумме 1594000,00,00  руб.</w:t>
      </w:r>
    </w:p>
    <w:p>
      <w:pPr>
        <w:spacing w:after="0" w:line="360" w:lineRule="auto"/>
        <w:ind w:firstLine="709"/>
        <w:jc w:val="both"/>
        <w:rPr>
          <w:rFonts w:ascii="Times New Roman" w:hAnsi="Times New Roman"/>
          <w:sz w:val="28"/>
          <w:szCs w:val="28"/>
        </w:rPr>
      </w:pPr>
      <w:r>
        <w:rPr>
          <w:rFonts w:ascii="Times New Roman" w:hAnsi="Times New Roman"/>
          <w:sz w:val="28"/>
          <w:szCs w:val="28"/>
        </w:rPr>
        <w:t>Прочие субсидии сельским поселениям на исполнение полномочий по местным инициативам 912305,00 рублей;</w:t>
      </w:r>
    </w:p>
    <w:p>
      <w:pPr>
        <w:shd w:val="clear" w:color="auto" w:fill="FFFFFF"/>
        <w:spacing w:after="0" w:line="360" w:lineRule="auto"/>
        <w:ind w:firstLine="709"/>
        <w:jc w:val="both"/>
        <w:rPr>
          <w:rFonts w:ascii="Times New Roman" w:hAnsi="Times New Roman"/>
          <w:sz w:val="24"/>
          <w:szCs w:val="24"/>
        </w:rPr>
      </w:pPr>
      <w:r>
        <w:rPr>
          <w:rFonts w:ascii="Times New Roman" w:hAnsi="Times New Roman"/>
          <w:sz w:val="28"/>
          <w:szCs w:val="28"/>
        </w:rPr>
        <w:t>Анализируя структуру доходов за период с 2023 по 2024 годы прослеживается незначительное повышение налоговых и</w:t>
      </w:r>
      <w:r>
        <w:rPr>
          <w:rFonts w:ascii="Times New Roman" w:hAnsi="Times New Roman"/>
          <w:color w:val="FF0000"/>
          <w:sz w:val="28"/>
          <w:szCs w:val="28"/>
        </w:rPr>
        <w:t xml:space="preserve">  </w:t>
      </w:r>
      <w:r>
        <w:rPr>
          <w:rFonts w:ascii="Times New Roman" w:hAnsi="Times New Roman"/>
          <w:sz w:val="28"/>
          <w:szCs w:val="28"/>
        </w:rPr>
        <w:t>неналоговых доходов</w:t>
      </w:r>
      <w:r>
        <w:rPr>
          <w:rFonts w:ascii="Times New Roman" w:hAnsi="Times New Roman"/>
          <w:sz w:val="24"/>
          <w:szCs w:val="24"/>
        </w:rPr>
        <w:t xml:space="preserve"> </w:t>
      </w:r>
    </w:p>
    <w:p>
      <w:pPr>
        <w:shd w:val="clear" w:color="auto" w:fill="FFFFFF"/>
        <w:spacing w:after="0" w:line="360" w:lineRule="auto"/>
        <w:ind w:firstLine="709"/>
        <w:jc w:val="both"/>
        <w:rPr>
          <w:rFonts w:ascii="Times New Roman" w:hAnsi="Times New Roman"/>
          <w:sz w:val="24"/>
          <w:szCs w:val="24"/>
        </w:rPr>
      </w:pPr>
      <w:r>
        <w:rPr>
          <w:rFonts w:ascii="Times New Roman" w:hAnsi="Times New Roman"/>
          <w:sz w:val="24"/>
          <w:szCs w:val="24"/>
        </w:rPr>
        <w:drawing>
          <wp:inline distT="0" distB="0" distL="0" distR="0">
            <wp:extent cx="5486400" cy="3200400"/>
            <wp:effectExtent l="4445" t="4445" r="14605" b="1460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Рисунок 1.1. Структура доходов бюджета Новошипуновского  сельсовета за 2023-2024 гг., тыс. руб.</w:t>
      </w:r>
    </w:p>
    <w:p>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Следует отметить, что увеличение  собственных доходов происходит  за счет изменения федерального и регионального законодательства.</w:t>
      </w:r>
    </w:p>
    <w:p>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Рассмотрим структуру налоговых доходов в общем объеме поступлений. </w:t>
      </w:r>
    </w:p>
    <w:p>
      <w:pPr>
        <w:shd w:val="clear" w:color="auto" w:fill="FFFFFF"/>
        <w:spacing w:after="0" w:line="360" w:lineRule="auto"/>
        <w:jc w:val="both"/>
        <w:rPr>
          <w:rFonts w:ascii="Times New Roman" w:hAnsi="Times New Roman"/>
          <w:color w:val="000000"/>
          <w:sz w:val="24"/>
          <w:szCs w:val="24"/>
        </w:rPr>
      </w:pPr>
      <w:r>
        <w:rPr>
          <w:rFonts w:ascii="Times New Roman" w:hAnsi="Times New Roman"/>
          <w:color w:val="000000"/>
          <w:sz w:val="24"/>
          <w:szCs w:val="24"/>
        </w:rPr>
        <w:drawing>
          <wp:inline distT="0" distB="0" distL="0" distR="0">
            <wp:extent cx="5461635" cy="3028950"/>
            <wp:effectExtent l="4445" t="4445" r="20320" b="14605"/>
            <wp:docPr id="2" name="Объект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hd w:val="clear" w:color="auto" w:fill="FFFFFF"/>
        <w:spacing w:after="0" w:line="360" w:lineRule="auto"/>
        <w:jc w:val="both"/>
        <w:rPr>
          <w:rFonts w:ascii="Times New Roman" w:hAnsi="Times New Roman"/>
          <w:color w:val="000000"/>
          <w:sz w:val="24"/>
          <w:szCs w:val="24"/>
        </w:rPr>
      </w:pPr>
    </w:p>
    <w:p>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Рисунок 1.2. Налоговые доходы в общем объеме поступлений Новошипуновского сельсовета с 2023-2024 гг.,руб.</w:t>
      </w:r>
    </w:p>
    <w:p>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На протяжении исследуемого периода сумма налоговых доходов имеет тенденцию к незначительному увеличению. Если смотреть в целом на показатели, то можно сказать, что наблюдается подъём в поступлении налоговых доходов, как в целом, так и по видам основных налоговых доходов, это хорошо видно на рисунке 1.3. </w:t>
      </w:r>
    </w:p>
    <w:p>
      <w:pPr>
        <w:spacing w:after="0" w:line="360" w:lineRule="auto"/>
        <w:ind w:firstLine="709"/>
        <w:jc w:val="both"/>
        <w:rPr>
          <w:rFonts w:ascii="Times New Roman" w:hAnsi="Times New Roman" w:cs="Times New Roman"/>
          <w:color w:val="000000"/>
          <w:sz w:val="28"/>
          <w:szCs w:val="28"/>
          <w:shd w:val="clear" w:color="auto" w:fill="FFFBF2"/>
        </w:rPr>
      </w:pPr>
      <w:r>
        <w:rPr>
          <w:rFonts w:ascii="Times New Roman" w:hAnsi="Times New Roman" w:cs="Times New Roman"/>
          <w:color w:val="000000"/>
          <w:sz w:val="28"/>
          <w:szCs w:val="28"/>
          <w:shd w:val="clear" w:color="auto" w:fill="FFFBF2"/>
        </w:rPr>
        <w:t xml:space="preserve">136-ФЗ внес изменения в части перераспределения отдельных полномочий с уровня поселений на уровень района. Для обеспечения переданных полномочий в Бюджетный кодекс РФ федеральным законом № 383-ФЗ внесены изменения по перераспределению отдельных нормативов отчислений между бюджетами муниципальных районов и сельских поселений в пользу районных бюджетов, налоговые и неналоговые доходы поселений сократились по налогу на доходы физических лиц,  доходам от аренды и продажи земельных участков. </w:t>
      </w:r>
    </w:p>
    <w:p>
      <w:pPr>
        <w:spacing w:after="0" w:line="360" w:lineRule="auto"/>
        <w:ind w:firstLine="709"/>
        <w:jc w:val="both"/>
        <w:rPr>
          <w:rFonts w:ascii="Times New Roman" w:hAnsi="Times New Roman" w:cs="Times New Roman"/>
          <w:color w:val="000000"/>
          <w:sz w:val="28"/>
          <w:szCs w:val="28"/>
          <w:shd w:val="clear" w:color="auto" w:fill="FFFBF2"/>
        </w:rPr>
      </w:pPr>
    </w:p>
    <w:p>
      <w:pPr>
        <w:spacing w:after="0" w:line="360" w:lineRule="auto"/>
        <w:ind w:firstLine="709"/>
        <w:jc w:val="both"/>
        <w:rPr>
          <w:rFonts w:ascii="Times New Roman" w:hAnsi="Times New Roman"/>
          <w:color w:val="000000"/>
          <w:sz w:val="24"/>
          <w:szCs w:val="24"/>
        </w:rPr>
      </w:pPr>
      <w:r>
        <w:rPr>
          <w:rFonts w:ascii="Times New Roman" w:hAnsi="Times New Roman"/>
          <w:color w:val="000000"/>
          <w:sz w:val="24"/>
          <w:szCs w:val="24"/>
        </w:rPr>
        <w:drawing>
          <wp:inline distT="0" distB="0" distL="0" distR="0">
            <wp:extent cx="5690235" cy="5666105"/>
            <wp:effectExtent l="4445" t="4445" r="20320" b="6350"/>
            <wp:docPr id="3"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after="0" w:line="360" w:lineRule="auto"/>
        <w:ind w:firstLine="709"/>
        <w:jc w:val="both"/>
        <w:rPr>
          <w:rFonts w:ascii="Times New Roman" w:hAnsi="Times New Roman"/>
          <w:sz w:val="28"/>
          <w:szCs w:val="28"/>
        </w:rPr>
      </w:pPr>
      <w:r>
        <w:rPr>
          <w:rFonts w:ascii="Times New Roman" w:hAnsi="Times New Roman"/>
          <w:color w:val="000000"/>
          <w:sz w:val="28"/>
          <w:szCs w:val="28"/>
        </w:rPr>
        <w:t>Рисунок 1.3. Структура налоговых доходов Новошипуновского сельсовета за 2023-2024 гг., тыс.руб.</w:t>
      </w:r>
    </w:p>
    <w:p>
      <w:pPr>
        <w:spacing w:after="0" w:line="360" w:lineRule="auto"/>
        <w:ind w:firstLine="567"/>
        <w:jc w:val="both"/>
        <w:rPr>
          <w:rFonts w:ascii="Times New Roman" w:hAnsi="Times New Roman" w:cs="Times New Roman"/>
          <w:color w:val="000000"/>
          <w:sz w:val="28"/>
          <w:szCs w:val="28"/>
          <w:shd w:val="clear" w:color="auto" w:fill="FFFFFF"/>
        </w:rPr>
      </w:pPr>
      <w:r>
        <w:rPr>
          <w:rFonts w:ascii="Times New Roman" w:hAnsi="Times New Roman"/>
          <w:color w:val="000000"/>
          <w:sz w:val="28"/>
          <w:szCs w:val="28"/>
        </w:rPr>
        <w:t xml:space="preserve">Немаловажным доходным источником для бюджета является земельный налог, который полностью зачисляется в местный бюджет. </w:t>
      </w:r>
      <w:r>
        <w:rPr>
          <w:rFonts w:ascii="Times New Roman" w:hAnsi="Times New Roman" w:cs="Times New Roman"/>
          <w:bCs/>
          <w:color w:val="000000"/>
          <w:sz w:val="28"/>
          <w:szCs w:val="28"/>
          <w:shd w:val="clear" w:color="auto" w:fill="FFFFFF"/>
        </w:rPr>
        <w:t>Налог на имущество физических лиц</w:t>
      </w:r>
      <w:r>
        <w:rPr>
          <w:rStyle w:val="11"/>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 второй по значимости налог для бюджетов поселений, 100% доходов подлежит зачислению в бюджет поселений. В сравнении с 2023 г  налога на имущество поступило меньше на 212,1 тыс. руб. Единый сельхозналог поступил в бюджет на 90,7 тыс руб. меньше по сравнению с 2024 г.</w:t>
      </w:r>
    </w:p>
    <w:p>
      <w:pPr>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Налог на доходы с физических лиц увеличился в 2024 г в  на 49,8 тыс.руб., </w:t>
      </w:r>
    </w:p>
    <w:p>
      <w:pPr>
        <w:tabs>
          <w:tab w:val="left" w:pos="4035"/>
          <w:tab w:val="left" w:pos="5580"/>
        </w:tabs>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Неналоговые доходы являются составной частью доходов местного бюджета. В бюджет сельсовета подлежат зачислению такие доходы как, доходы от продажи и  передачи в аренду имущества.</w:t>
      </w:r>
    </w:p>
    <w:p>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Анализируя поступления неналоговых доходов в местный бюджет можно сделать вывод о том, что доля их в общем объеме доходов  постепенно увеличивается. </w:t>
      </w:r>
    </w:p>
    <w:p>
      <w:pPr>
        <w:spacing w:after="0" w:line="360" w:lineRule="auto"/>
        <w:ind w:firstLine="709"/>
        <w:jc w:val="both"/>
        <w:rPr>
          <w:rFonts w:ascii="Times New Roman" w:hAnsi="Times New Roman"/>
          <w:color w:val="000000"/>
          <w:sz w:val="24"/>
          <w:szCs w:val="24"/>
        </w:rPr>
      </w:pPr>
      <w:r>
        <w:rPr>
          <w:rFonts w:ascii="Times New Roman" w:hAnsi="Times New Roman"/>
          <w:color w:val="000000"/>
          <w:sz w:val="28"/>
          <w:szCs w:val="28"/>
        </w:rPr>
        <w:t>В период с 2023 по 2024 гг. сумма поступлений от неналоговых доходов Новошипуновского сельсовета имеет тенденцию к увеличению в связи с тем ,что увеличился МРОТ в январе 2024 г.</w:t>
      </w:r>
    </w:p>
    <w:p>
      <w:pPr>
        <w:spacing w:after="0" w:line="360" w:lineRule="auto"/>
        <w:ind w:firstLine="709"/>
        <w:jc w:val="both"/>
        <w:rPr>
          <w:rFonts w:ascii="Times New Roman" w:hAnsi="Times New Roman"/>
          <w:color w:val="000000"/>
          <w:sz w:val="24"/>
          <w:szCs w:val="24"/>
        </w:rPr>
      </w:pPr>
    </w:p>
    <w:p>
      <w:pPr>
        <w:spacing w:after="0" w:line="360" w:lineRule="auto"/>
        <w:ind w:firstLine="709"/>
        <w:jc w:val="both"/>
        <w:rPr>
          <w:rFonts w:ascii="Times New Roman" w:hAnsi="Times New Roman"/>
          <w:color w:val="000000"/>
          <w:sz w:val="24"/>
          <w:szCs w:val="24"/>
        </w:rPr>
      </w:pPr>
      <w:r>
        <w:rPr>
          <w:rFonts w:ascii="Times New Roman" w:hAnsi="Times New Roman"/>
          <w:color w:val="000000"/>
          <w:sz w:val="24"/>
          <w:szCs w:val="24"/>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5486400" cy="3200400"/>
            <wp:effectExtent l="4445" t="4445" r="14605" b="14605"/>
            <wp:wrapSquare wrapText="bothSides"/>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ascii="Times New Roman" w:hAnsi="Times New Roman"/>
          <w:color w:val="000000"/>
          <w:sz w:val="24"/>
          <w:szCs w:val="24"/>
        </w:rPr>
        <w:br w:type="textWrapping" w:clear="all"/>
      </w:r>
    </w:p>
    <w:p>
      <w:pPr>
        <w:tabs>
          <w:tab w:val="left" w:pos="1695"/>
        </w:tabs>
        <w:spacing w:after="0" w:line="360" w:lineRule="auto"/>
        <w:ind w:firstLine="709"/>
        <w:jc w:val="both"/>
        <w:rPr>
          <w:rFonts w:ascii="Times New Roman" w:hAnsi="Times New Roman"/>
          <w:color w:val="000000"/>
          <w:sz w:val="24"/>
          <w:szCs w:val="24"/>
        </w:rPr>
      </w:pPr>
      <w:r>
        <w:rPr>
          <w:rFonts w:ascii="Times New Roman" w:hAnsi="Times New Roman"/>
          <w:color w:val="000000"/>
          <w:sz w:val="24"/>
          <w:szCs w:val="24"/>
        </w:rPr>
        <w:tab/>
      </w:r>
    </w:p>
    <w:p>
      <w:pPr>
        <w:spacing w:after="0" w:line="360" w:lineRule="auto"/>
        <w:ind w:firstLine="709"/>
        <w:jc w:val="both"/>
        <w:rPr>
          <w:rFonts w:ascii="Times New Roman" w:hAnsi="Times New Roman"/>
          <w:sz w:val="28"/>
          <w:szCs w:val="28"/>
        </w:rPr>
      </w:pPr>
      <w:r>
        <w:rPr>
          <w:rFonts w:ascii="Times New Roman" w:hAnsi="Times New Roman"/>
          <w:color w:val="000000"/>
          <w:sz w:val="28"/>
          <w:szCs w:val="28"/>
        </w:rPr>
        <w:t>Рисунок 2.4.  Структура неналоговых доходов Новошипуновского сельсовета за 2023-2024 гг., тыс. руб.</w:t>
      </w:r>
    </w:p>
    <w:p>
      <w:pPr>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Неналоговые доходы в большей степени показывают эффективность работы органов местного самоуправления с муниципальной собственностью. </w:t>
      </w:r>
    </w:p>
    <w:p>
      <w:pPr>
        <w:spacing w:after="0" w:line="360" w:lineRule="auto"/>
        <w:ind w:firstLine="709"/>
        <w:jc w:val="both"/>
        <w:rPr>
          <w:rFonts w:ascii="Times New Roman" w:hAnsi="Times New Roman"/>
          <w:bCs/>
          <w:sz w:val="28"/>
          <w:szCs w:val="28"/>
        </w:rPr>
      </w:pPr>
      <w:r>
        <w:rPr>
          <w:rFonts w:ascii="Times New Roman" w:hAnsi="Times New Roman"/>
          <w:bCs/>
          <w:sz w:val="28"/>
          <w:szCs w:val="28"/>
        </w:rPr>
        <w:t>Поступили доходы от арендной платы за аренду земельных участков . Поступило в сумме 50,7 тыс.рублей ,за аренду имущества 49,7 тыс.рублей</w:t>
      </w:r>
    </w:p>
    <w:p>
      <w:pPr>
        <w:spacing w:after="0" w:line="360" w:lineRule="auto"/>
        <w:ind w:firstLine="709"/>
        <w:jc w:val="both"/>
        <w:rPr>
          <w:rFonts w:ascii="Times New Roman" w:hAnsi="Times New Roman"/>
          <w:bCs/>
          <w:sz w:val="28"/>
          <w:szCs w:val="28"/>
        </w:rPr>
      </w:pPr>
      <w:r>
        <w:rPr>
          <w:rFonts w:ascii="Times New Roman" w:hAnsi="Times New Roman"/>
          <w:bCs/>
          <w:sz w:val="28"/>
          <w:szCs w:val="28"/>
        </w:rPr>
        <w:t>Также поступают доходы от возмещения затрат по доставке призывников в сумме 66,5 тыс.руб;</w:t>
      </w:r>
    </w:p>
    <w:p>
      <w:pPr>
        <w:spacing w:after="0" w:line="360" w:lineRule="auto"/>
        <w:ind w:firstLine="709"/>
        <w:jc w:val="both"/>
        <w:rPr>
          <w:rFonts w:ascii="Times New Roman" w:hAnsi="Times New Roman"/>
          <w:color w:val="000000"/>
          <w:sz w:val="28"/>
          <w:szCs w:val="28"/>
        </w:rPr>
      </w:pPr>
      <w:r>
        <w:rPr>
          <w:rFonts w:ascii="Times New Roman" w:hAnsi="Times New Roman"/>
          <w:sz w:val="28"/>
          <w:szCs w:val="28"/>
        </w:rPr>
        <w:t xml:space="preserve">Анализируя все вышесказанное можно сделать вывод, </w:t>
      </w:r>
      <w:r>
        <w:rPr>
          <w:rFonts w:ascii="Times New Roman" w:hAnsi="Times New Roman"/>
          <w:color w:val="000000"/>
          <w:sz w:val="28"/>
          <w:szCs w:val="28"/>
        </w:rPr>
        <w:t xml:space="preserve">что собственных доходов Новошипуновского сельсовета  недостаточно для осуществления всех полномочий определенных Федеральным Законом «Об общих принципах организации местного самоуправления в Российской Федерации» от 6.10.2003 №131-ФЗ. Согласно этому закону полномочий и естественно ответственности на поселения возложено   много, а финансового обеспечения практически не предусмотрено. </w:t>
      </w:r>
    </w:p>
    <w:p>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Расходы денежных средств местного бюджета направлены на финансовое обеспечение задач и функций местного самоуправления. Расходная часть местного бюджета включает финансирование расходов, связанных с решением вопросов местного значения, с управлением и развитием экономики и социальной сферы Новошипуновского сельсовета. Планирование расходов на предстоящий финансовый год это очень ответственная работа, которая проводится Новошипуновским сельсоветом. </w:t>
      </w:r>
    </w:p>
    <w:p>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Дебиторская задолженность по счетам отсутствует;</w:t>
      </w:r>
    </w:p>
    <w:p>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Кредиторская задолженность :</w:t>
      </w:r>
    </w:p>
    <w:p>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 счету 30224000 в сумме 319,99 руб. остаток по начисленным арендам опор ;</w:t>
      </w:r>
    </w:p>
    <w:p>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Финансирование расходов </w:t>
      </w:r>
      <w:r>
        <w:rPr>
          <w:rFonts w:ascii="Times New Roman" w:hAnsi="Times New Roman" w:cs="Times New Roman"/>
          <w:color w:val="000000"/>
          <w:sz w:val="28"/>
          <w:szCs w:val="28"/>
        </w:rPr>
        <w:t>Новошипуновского</w:t>
      </w:r>
      <w:r>
        <w:rPr>
          <w:rFonts w:ascii="Times New Roman" w:hAnsi="Times New Roman" w:cs="Times New Roman"/>
          <w:sz w:val="28"/>
          <w:szCs w:val="28"/>
        </w:rPr>
        <w:t xml:space="preserve"> сельсовета осуществляется на основании расходных обязательств  и бюджетных смет.</w:t>
      </w:r>
    </w:p>
    <w:p>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Расходы бюджета за 2024 год составили 6670955,62 руб. Дефицит  бюджета составил 369,1 тыс. руб.: </w:t>
      </w:r>
    </w:p>
    <w:p>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Необходимо отметить, что данный результат достигнут в связи с увеличением  поступлений налоговых и неналоговых доходов.</w:t>
      </w:r>
    </w:p>
    <w:p>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период за 2024г, расходная часть местного бюджета </w:t>
      </w:r>
      <w:r>
        <w:rPr>
          <w:rFonts w:ascii="Times New Roman" w:hAnsi="Times New Roman" w:cs="Times New Roman"/>
          <w:color w:val="000000"/>
          <w:sz w:val="28"/>
          <w:szCs w:val="28"/>
        </w:rPr>
        <w:t>Новошипуновского</w:t>
      </w:r>
      <w:r>
        <w:rPr>
          <w:rFonts w:ascii="Times New Roman" w:hAnsi="Times New Roman" w:cs="Times New Roman"/>
          <w:sz w:val="28"/>
          <w:szCs w:val="28"/>
        </w:rPr>
        <w:t xml:space="preserve"> сельсовета сложилась следующим образом:</w:t>
      </w:r>
    </w:p>
    <w:p>
      <w:pPr>
        <w:spacing w:after="0" w:line="360" w:lineRule="auto"/>
        <w:ind w:firstLine="709"/>
        <w:jc w:val="both"/>
        <w:rPr>
          <w:rFonts w:ascii="Times New Roman" w:hAnsi="Times New Roman" w:cs="Times New Roman"/>
          <w:sz w:val="28"/>
          <w:szCs w:val="28"/>
        </w:rPr>
      </w:pPr>
    </w:p>
    <w:p>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Рисунок 1.5. Структура расходов местного бюджета Новошипуновского сельсовета  за 2023-2024 гг., тыс. руб.</w:t>
      </w:r>
    </w:p>
    <w:p>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drawing>
          <wp:inline distT="0" distB="0" distL="0" distR="0">
            <wp:extent cx="5667375" cy="9734550"/>
            <wp:effectExtent l="4445" t="5080" r="5080" b="1397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after="0" w:line="360" w:lineRule="auto"/>
        <w:jc w:val="both"/>
        <w:rPr>
          <w:rFonts w:ascii="Times New Roman" w:hAnsi="Times New Roman" w:cs="Times New Roman"/>
          <w:color w:val="000000"/>
          <w:sz w:val="28"/>
          <w:szCs w:val="28"/>
        </w:rPr>
      </w:pPr>
    </w:p>
    <w:p>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ходе исполнение бюджета </w:t>
      </w:r>
      <w:r>
        <w:rPr>
          <w:rFonts w:ascii="Times New Roman" w:hAnsi="Times New Roman" w:cs="Times New Roman"/>
          <w:color w:val="000000"/>
          <w:sz w:val="28"/>
          <w:szCs w:val="28"/>
        </w:rPr>
        <w:t>Новошипуновского</w:t>
      </w:r>
      <w:r>
        <w:rPr>
          <w:rFonts w:ascii="Times New Roman" w:hAnsi="Times New Roman" w:cs="Times New Roman"/>
          <w:sz w:val="28"/>
          <w:szCs w:val="28"/>
        </w:rPr>
        <w:t xml:space="preserve"> сельсовета обеспечено решение первоочередных задач социальной направленности. На эти цели израсходовано 4156,5 рубля, или 62,3 % от общего объема собственных доходов  бюджета поселения. Из них расходы на заработную плату  сотрудников в области физической культуры и спорта и спортивный инвентарь составили  –129,0 тыс. рублей,  культуры и кинематографии – 2200,6 тыс. рублей.</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Средства  бюджета сельсовета были  направлены на решение следующих задач:</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 проведение мероприятий по предупреждению ЧС;</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ремонт и восстановление дорог;</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-установка фонарей уличного освещения ;</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Из вышестоящих бюджетов в 2024г. в бюджет сельсовета поступило   - 1176899,80 рублей. Денежные средства  целевого назначения были направлены  на:</w:t>
      </w:r>
    </w:p>
    <w:p>
      <w:pPr>
        <w:spacing w:after="0" w:line="240" w:lineRule="auto"/>
        <w:ind w:firstLine="709"/>
        <w:jc w:val="both"/>
        <w:rPr>
          <w:rFonts w:ascii="Times New Roman" w:hAnsi="Times New Roman" w:cs="Times New Roman"/>
          <w:sz w:val="28"/>
          <w:szCs w:val="28"/>
        </w:rPr>
      </w:pPr>
    </w:p>
    <w:p>
      <w:p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-1109027,80 рублей на организацию дорожной деятельности, из них:</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-1000000,00 рублей направлено из дорожного фонда на оплату восстановления верхних слоев покрытия автодороги контракт заключен с МУП "Краснощековские водопроводные сети;</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-17320,34 рублей - направлено из дорожного фонда района на оплату электроэнергии израсходованной на освещение улиц села договор заключен с АО "Алтайэнергосбыт";</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-33427,5 рублей - направлено из дорожного фонда района на оплату светильников ,кронштейнов и фотореле договор заключен с АО "Алтайэнергосбыт";</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- 1279,96 рублей - направлено из дорожного фонда на аренду опор договорзаключен с ПАО "Россети Сибирь" ;</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- 67000,00 рублей - направлено из дорожного фонда на оплату счетов за очистку дорог от снежного покрова ,договора заключены с ИП К(Ф)Х Ивашов Б.А., ООО "Агрорезерв",;</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578720,00 рублей приобретение мотопомпы бензиновой,</w:t>
      </w:r>
      <w:r>
        <w:rPr>
          <w:rFonts w:hint="default" w:ascii="Times New Roman" w:hAnsi="Times New Roman" w:cs="Times New Roman"/>
          <w:sz w:val="28"/>
          <w:szCs w:val="28"/>
          <w:lang w:val="ru-RU"/>
        </w:rPr>
        <w:t xml:space="preserve"> </w:t>
      </w:r>
      <w:r>
        <w:rPr>
          <w:rFonts w:ascii="Times New Roman" w:hAnsi="Times New Roman" w:cs="Times New Roman"/>
          <w:sz w:val="28"/>
          <w:szCs w:val="28"/>
        </w:rPr>
        <w:t>договор заключен с ООО»Старатель» ;</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-12000,00 рублей услуги спецтехники договор заключен с МУП "Краснощековские водопроводные сети".</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-18000,00 рублей услуги по опашке села,</w:t>
      </w:r>
      <w:r>
        <w:rPr>
          <w:rFonts w:hint="default" w:ascii="Times New Roman" w:hAnsi="Times New Roman" w:cs="Times New Roman"/>
          <w:sz w:val="28"/>
          <w:szCs w:val="28"/>
          <w:lang w:val="ru-RU"/>
        </w:rPr>
        <w:t xml:space="preserve"> </w:t>
      </w:r>
      <w:r>
        <w:rPr>
          <w:rFonts w:ascii="Times New Roman" w:hAnsi="Times New Roman" w:cs="Times New Roman"/>
          <w:sz w:val="28"/>
          <w:szCs w:val="28"/>
        </w:rPr>
        <w:t>договор заключен с Сикисовым А.Г.</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Кроме этого :</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- 167 222,00 рублей заработная плата с налогами по ВУС ;</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-1523459,46 рублей строительство спортивной площадки по проекту местных инициатив за счет местного бюджета 401154,46 руб.,за счет населения 110000,00 руб., организации 50000.00 ИП К(Ф)Х Ивашов Б.А.,50000.00 руб. ООО Агрорезерв </w:t>
      </w:r>
    </w:p>
    <w:p>
      <w:pPr>
        <w:spacing w:after="0" w:line="240" w:lineRule="auto"/>
        <w:ind w:firstLine="709"/>
        <w:jc w:val="both"/>
        <w:rPr>
          <w:rFonts w:ascii="Times New Roman" w:hAnsi="Times New Roman" w:cs="Times New Roman"/>
          <w:sz w:val="28"/>
          <w:szCs w:val="28"/>
        </w:rPr>
      </w:pP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За счет  собственных средств приобретались  материалы, выполнялись   следующие виды работ: </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 течении летнего периода проводили скашивание сорной растительности в черте села;</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-проводили работу по озеленению;</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осеннее время проводили работу по подготовке проходов для талых весенних вод;</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организацию работы сельсовета израсходовано 1 034 600 рублей, в том числе:</w:t>
      </w:r>
    </w:p>
    <w:tbl>
      <w:tblPr>
        <w:tblStyle w:val="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56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rPr>
                <w:b/>
              </w:rPr>
            </w:pPr>
            <w:r>
              <w:rPr>
                <w:b/>
              </w:rPr>
              <w:t>Основные статьи расходов:</w:t>
            </w:r>
          </w:p>
        </w:tc>
        <w:tc>
          <w:tcPr>
            <w:tcW w:w="5635"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rPr>
                <w:b/>
              </w:rPr>
            </w:pPr>
            <w:r>
              <w:rPr>
                <w:b/>
              </w:rPr>
              <w:t>Общая сумма затрат  (тыс. руб.)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jc w:val="left"/>
            </w:pPr>
            <w:r>
              <w:t>Электроэнергия</w:t>
            </w:r>
          </w:p>
        </w:tc>
        <w:tc>
          <w:tcPr>
            <w:tcW w:w="563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-123,7 объекты администрации;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-1,3  аренда опор;</w:t>
            </w:r>
          </w:p>
          <w:p>
            <w:pPr>
              <w:autoSpaceDE w:val="0"/>
              <w:autoSpaceDN w:val="0"/>
              <w:adjustRightInd w:val="0"/>
              <w:spacing w:after="0" w:line="240" w:lineRule="auto"/>
              <w:ind w:firstLine="709"/>
              <w:jc w:val="both"/>
              <w:rPr>
                <w:sz w:val="24"/>
                <w:szCs w:val="24"/>
              </w:rPr>
            </w:pPr>
            <w:r>
              <w:rPr>
                <w:rFonts w:ascii="Times New Roman" w:hAnsi="Times New Roman" w:cs="Times New Roman"/>
                <w:sz w:val="24"/>
                <w:szCs w:val="24"/>
              </w:rPr>
              <w:t>- 17,3 уличное освещение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jc w:val="left"/>
            </w:pPr>
            <w:r>
              <w:t>Уголь</w:t>
            </w:r>
          </w:p>
        </w:tc>
        <w:tc>
          <w:tcPr>
            <w:tcW w:w="5635"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pPr>
            <w:r>
              <w:t>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sz w:val="24"/>
                <w:szCs w:val="24"/>
              </w:rPr>
            </w:pPr>
            <w:r>
              <w:rPr>
                <w:rFonts w:ascii="Times New Roman" w:hAnsi="Times New Roman"/>
                <w:sz w:val="24"/>
                <w:szCs w:val="24"/>
              </w:rPr>
              <w:t>ГСМ</w:t>
            </w:r>
          </w:p>
        </w:tc>
        <w:tc>
          <w:tcPr>
            <w:tcW w:w="5635"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pPr>
            <w:r>
              <w:t>215,2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jc w:val="left"/>
            </w:pPr>
            <w:r>
              <w:t>Зап. части</w:t>
            </w:r>
          </w:p>
        </w:tc>
        <w:tc>
          <w:tcPr>
            <w:tcW w:w="5635"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pPr>
            <w:r>
              <w:t>48,3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jc w:val="left"/>
            </w:pPr>
            <w:r>
              <w:t>Связь (телефон, интернет, галекс)</w:t>
            </w:r>
          </w:p>
        </w:tc>
        <w:tc>
          <w:tcPr>
            <w:tcW w:w="5635"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pPr>
            <w:r>
              <w:t>82,8  тыс. рублей:</w:t>
            </w:r>
          </w:p>
          <w:p>
            <w:pPr>
              <w:pStyle w:val="5"/>
              <w:spacing w:line="240" w:lineRule="auto"/>
              <w:ind w:firstLine="0"/>
            </w:pPr>
            <w:r>
              <w:t>-4,3 телефон;</w:t>
            </w:r>
          </w:p>
          <w:p>
            <w:pPr>
              <w:pStyle w:val="5"/>
              <w:spacing w:line="240" w:lineRule="auto"/>
              <w:ind w:firstLine="0"/>
            </w:pPr>
            <w:r>
              <w:t>-7,4 программа СБИС.</w:t>
            </w:r>
          </w:p>
          <w:p>
            <w:pPr>
              <w:pStyle w:val="5"/>
              <w:spacing w:line="240" w:lineRule="auto"/>
              <w:ind w:firstLine="0"/>
            </w:pPr>
            <w:r>
              <w:t>-71,1 интернет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jc w:val="left"/>
            </w:pPr>
            <w:r>
              <w:t xml:space="preserve">Налоги (земельный, имущественный, транспортный) </w:t>
            </w:r>
          </w:p>
        </w:tc>
        <w:tc>
          <w:tcPr>
            <w:tcW w:w="5635"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pPr>
            <w:r>
              <w:t>13,6 руб.</w:t>
            </w:r>
          </w:p>
          <w:p>
            <w:pPr>
              <w:pStyle w:val="5"/>
              <w:spacing w:line="240" w:lineRule="auto"/>
              <w:ind w:firstLine="0"/>
            </w:pPr>
            <w:r>
              <w:t xml:space="preserve">земельный- 5,5 руб.; </w:t>
            </w:r>
          </w:p>
          <w:p>
            <w:pPr>
              <w:pStyle w:val="5"/>
              <w:spacing w:line="240" w:lineRule="auto"/>
              <w:ind w:firstLine="0"/>
            </w:pPr>
            <w:r>
              <w:t>транспортный – 8,1 тыс. руб.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3936"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jc w:val="left"/>
            </w:pPr>
            <w:r>
              <w:t>Материалы, в т.ч. канцелярские товар</w:t>
            </w:r>
          </w:p>
        </w:tc>
        <w:tc>
          <w:tcPr>
            <w:tcW w:w="5635"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pPr>
            <w:r>
              <w:t>64,5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Borders>
              <w:top w:val="single" w:color="000000" w:sz="4" w:space="0"/>
              <w:left w:val="single" w:color="000000" w:sz="4" w:space="0"/>
              <w:bottom w:val="single" w:color="000000" w:sz="4" w:space="0"/>
              <w:right w:val="single" w:color="000000" w:sz="4" w:space="0"/>
            </w:tcBorders>
          </w:tcPr>
          <w:p>
            <w:pPr>
              <w:pStyle w:val="5"/>
              <w:spacing w:line="240" w:lineRule="auto"/>
              <w:ind w:firstLine="0"/>
            </w:pPr>
            <w:r>
              <w:t>Итого:</w:t>
            </w:r>
          </w:p>
        </w:tc>
        <w:tc>
          <w:tcPr>
            <w:tcW w:w="563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after="0" w:line="240" w:lineRule="auto"/>
              <w:ind w:firstLine="709"/>
              <w:jc w:val="center"/>
              <w:rPr>
                <w:sz w:val="24"/>
                <w:szCs w:val="24"/>
              </w:rPr>
            </w:pPr>
            <w:r>
              <w:rPr>
                <w:rFonts w:ascii="Times New Roman" w:hAnsi="Times New Roman" w:cs="Times New Roman"/>
                <w:b/>
                <w:sz w:val="24"/>
                <w:szCs w:val="24"/>
              </w:rPr>
              <w:t xml:space="preserve">566,7 тыс. рублей </w:t>
            </w:r>
          </w:p>
        </w:tc>
      </w:tr>
    </w:tbl>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Для увеличения доходной базы бюджета сельсовета проводится работа по оформлению невостребованных земельных долей  в 2024г. </w:t>
      </w:r>
    </w:p>
    <w:p>
      <w:pPr>
        <w:spacing w:after="0" w:line="240" w:lineRule="auto"/>
        <w:ind w:firstLine="709"/>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sz w:val="28"/>
          <w:szCs w:val="28"/>
        </w:rPr>
        <w:t>При исполнении бюджета необходимо обеспечить максимальную экономию бюджетных средств за счет их рационального использования. Для этого должны быть сохранены сдерживающие механизмы, обеспечивающие приоритетное финансирование первоочередных и социально-значимых обязательств. Одновременно следует продолжить еженедельный мониторинг экономии бюджетных расходов по результатам конкурсных процедур. Бюджетные ассигнования должны оперативно уменьшаться на суммы образовавшейся экономии.</w:t>
      </w:r>
    </w:p>
    <w:p>
      <w:pPr>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На 202</w:t>
      </w:r>
      <w:r>
        <w:rPr>
          <w:rFonts w:hint="default" w:ascii="Times New Roman" w:hAnsi="Times New Roman" w:eastAsia="Times New Roman" w:cs="Times New Roman"/>
          <w:b/>
          <w:sz w:val="28"/>
          <w:szCs w:val="28"/>
          <w:lang w:val="en-US" w:eastAsia="ru-RU"/>
        </w:rPr>
        <w:t>5</w:t>
      </w:r>
      <w:r>
        <w:rPr>
          <w:rFonts w:ascii="Times New Roman" w:hAnsi="Times New Roman" w:eastAsia="Times New Roman" w:cs="Times New Roman"/>
          <w:b/>
          <w:sz w:val="28"/>
          <w:szCs w:val="28"/>
          <w:lang w:eastAsia="ru-RU"/>
        </w:rPr>
        <w:t xml:space="preserve"> год планируется:</w:t>
      </w:r>
    </w:p>
    <w:p>
      <w:pPr>
        <w:jc w:val="both"/>
        <w:rPr>
          <w:rFonts w:ascii="Times New Roman" w:hAnsi="Times New Roman" w:eastAsia="Times New Roman" w:cs="Times New Roman"/>
          <w:sz w:val="28"/>
          <w:szCs w:val="28"/>
          <w:u w:val="single"/>
          <w:lang w:eastAsia="ru-RU"/>
        </w:rPr>
      </w:pPr>
      <w:r>
        <w:rPr>
          <w:rFonts w:ascii="Times New Roman" w:hAnsi="Times New Roman" w:eastAsia="Times New Roman" w:cs="Times New Roman"/>
          <w:sz w:val="28"/>
          <w:szCs w:val="28"/>
          <w:u w:val="single"/>
          <w:lang w:eastAsia="ru-RU"/>
        </w:rPr>
        <w:t>Организация благоустройства и озеленения территории</w:t>
      </w:r>
    </w:p>
    <w:p>
      <w:pPr>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благоустройство территории будет осуществляться в соответствии с Правилами благоустройства, Правилами содержания зелёных насаждений, ежегодным планом благоустройства территории, с привлечением к работам по благоустройству граждан, организаций всех форм собственности.</w:t>
      </w:r>
    </w:p>
    <w:p>
      <w:pPr>
        <w:jc w:val="both"/>
        <w:rPr>
          <w:rFonts w:ascii="Times New Roman" w:hAnsi="Times New Roman" w:eastAsia="Times New Roman" w:cs="Times New Roman"/>
          <w:sz w:val="28"/>
          <w:szCs w:val="28"/>
          <w:u w:val="single"/>
          <w:lang w:eastAsia="ru-RU"/>
        </w:rPr>
      </w:pPr>
      <w:r>
        <w:rPr>
          <w:rFonts w:ascii="Times New Roman" w:hAnsi="Times New Roman" w:eastAsia="Times New Roman" w:cs="Times New Roman"/>
          <w:sz w:val="28"/>
          <w:szCs w:val="28"/>
          <w:u w:val="single"/>
          <w:lang w:eastAsia="ru-RU"/>
        </w:rPr>
        <w:t>Организацию освещения улиц:</w:t>
      </w:r>
    </w:p>
    <w:p>
      <w:pPr>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-систематический контроль за освещением населенного пункта муниципального образования,  увеличение количество фонарей уличного освещения.</w:t>
      </w:r>
    </w:p>
    <w:p>
      <w:pPr>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Благоустройство места</w:t>
      </w:r>
      <w:r>
        <w:rPr>
          <w:rFonts w:hint="default" w:ascii="Times New Roman" w:hAnsi="Times New Roman" w:eastAsia="Times New Roman" w:cs="Times New Roman"/>
          <w:sz w:val="28"/>
          <w:szCs w:val="28"/>
          <w:lang w:val="en-US" w:eastAsia="ru-RU"/>
        </w:rPr>
        <w:t xml:space="preserve"> отдыха</w:t>
      </w:r>
      <w:r>
        <w:rPr>
          <w:rFonts w:ascii="Times New Roman" w:hAnsi="Times New Roman" w:eastAsia="Times New Roman" w:cs="Times New Roman"/>
          <w:sz w:val="28"/>
          <w:szCs w:val="28"/>
          <w:lang w:eastAsia="ru-RU"/>
        </w:rPr>
        <w:t xml:space="preserve"> по программе местных инициатив с софинансированием граждан и долей сельсовета.</w:t>
      </w:r>
      <w:bookmarkStart w:id="0" w:name="_GoBack"/>
      <w:bookmarkEnd w:id="0"/>
    </w:p>
    <w:sectPr>
      <w:pgSz w:w="11906" w:h="16838"/>
      <w:pgMar w:top="568" w:right="850" w:bottom="709"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10006FF" w:usb1="4000205B" w:usb2="00000010" w:usb3="00000000" w:csb0="2000019F" w:csb1="00000000"/>
  </w:font>
  <w:font w:name="TimesNewRomanPS-BoldMT">
    <w:altName w:val="MS Mincho"/>
    <w:panose1 w:val="00000000000000000000"/>
    <w:charset w:val="80"/>
    <w:family w:val="auto"/>
    <w:pitch w:val="default"/>
    <w:sig w:usb0="00000000" w:usb1="00000000" w:usb2="00000010" w:usb3="00000000" w:csb0="00020000" w:csb1="00000000"/>
  </w:font>
  <w:font w:name="Calibri">
    <w:panose1 w:val="020F0502020204030204"/>
    <w:charset w:val="01"/>
    <w:family w:val="auto"/>
    <w:pitch w:val="default"/>
    <w:sig w:usb0="E00002FF" w:usb1="4000ACFF" w:usb2="00000001" w:usb3="00000000" w:csb0="2000019F" w:csb1="00000000"/>
  </w:font>
  <w:font w:name="MS Mincho">
    <w:panose1 w:val="02020609040205080304"/>
    <w:charset w:val="80"/>
    <w:family w:val="auto"/>
    <w:pitch w:val="default"/>
    <w:sig w:usb0="E00002FF" w:usb1="6AC7FDFB" w:usb2="00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679"/>
    <w:rsid w:val="00001C9D"/>
    <w:rsid w:val="0001019E"/>
    <w:rsid w:val="000101C8"/>
    <w:rsid w:val="00013329"/>
    <w:rsid w:val="00013632"/>
    <w:rsid w:val="00016519"/>
    <w:rsid w:val="000246C0"/>
    <w:rsid w:val="0003446A"/>
    <w:rsid w:val="00035EA0"/>
    <w:rsid w:val="00052633"/>
    <w:rsid w:val="00054ACA"/>
    <w:rsid w:val="000624BE"/>
    <w:rsid w:val="0007075D"/>
    <w:rsid w:val="00070BED"/>
    <w:rsid w:val="00071B3C"/>
    <w:rsid w:val="00075DCD"/>
    <w:rsid w:val="0008474E"/>
    <w:rsid w:val="00084B43"/>
    <w:rsid w:val="000945CE"/>
    <w:rsid w:val="000A5A96"/>
    <w:rsid w:val="000A5D20"/>
    <w:rsid w:val="000B3833"/>
    <w:rsid w:val="000D6302"/>
    <w:rsid w:val="000E2289"/>
    <w:rsid w:val="000E724E"/>
    <w:rsid w:val="000F435A"/>
    <w:rsid w:val="000F5388"/>
    <w:rsid w:val="000F7656"/>
    <w:rsid w:val="000F7B54"/>
    <w:rsid w:val="001069C4"/>
    <w:rsid w:val="0011331A"/>
    <w:rsid w:val="0012784E"/>
    <w:rsid w:val="00127E0E"/>
    <w:rsid w:val="0013032F"/>
    <w:rsid w:val="00135DBE"/>
    <w:rsid w:val="00152D94"/>
    <w:rsid w:val="0015735C"/>
    <w:rsid w:val="00172A0F"/>
    <w:rsid w:val="001A37B3"/>
    <w:rsid w:val="001A4764"/>
    <w:rsid w:val="001A7848"/>
    <w:rsid w:val="001B4CAE"/>
    <w:rsid w:val="001B5A7A"/>
    <w:rsid w:val="001E7DA3"/>
    <w:rsid w:val="001F4697"/>
    <w:rsid w:val="001F56BB"/>
    <w:rsid w:val="0020341A"/>
    <w:rsid w:val="00205C60"/>
    <w:rsid w:val="0020660D"/>
    <w:rsid w:val="002208EA"/>
    <w:rsid w:val="00237B05"/>
    <w:rsid w:val="00240366"/>
    <w:rsid w:val="0025230E"/>
    <w:rsid w:val="00265A05"/>
    <w:rsid w:val="00266E62"/>
    <w:rsid w:val="00270263"/>
    <w:rsid w:val="002908F7"/>
    <w:rsid w:val="00296C0D"/>
    <w:rsid w:val="002A07FD"/>
    <w:rsid w:val="002A26D9"/>
    <w:rsid w:val="002B02B1"/>
    <w:rsid w:val="002C476E"/>
    <w:rsid w:val="002C4B96"/>
    <w:rsid w:val="002C6833"/>
    <w:rsid w:val="002C6FE3"/>
    <w:rsid w:val="002D18B8"/>
    <w:rsid w:val="002D204F"/>
    <w:rsid w:val="002E1D98"/>
    <w:rsid w:val="00302F2A"/>
    <w:rsid w:val="003044D6"/>
    <w:rsid w:val="00311672"/>
    <w:rsid w:val="00312066"/>
    <w:rsid w:val="00327960"/>
    <w:rsid w:val="00333C31"/>
    <w:rsid w:val="00336A56"/>
    <w:rsid w:val="00344878"/>
    <w:rsid w:val="0035582F"/>
    <w:rsid w:val="00367FAB"/>
    <w:rsid w:val="00371421"/>
    <w:rsid w:val="00377FCA"/>
    <w:rsid w:val="003950EC"/>
    <w:rsid w:val="00396D28"/>
    <w:rsid w:val="003B30A2"/>
    <w:rsid w:val="003B70F1"/>
    <w:rsid w:val="003D1DF4"/>
    <w:rsid w:val="003E3F80"/>
    <w:rsid w:val="0043274E"/>
    <w:rsid w:val="00436383"/>
    <w:rsid w:val="004553BF"/>
    <w:rsid w:val="00456593"/>
    <w:rsid w:val="004910AC"/>
    <w:rsid w:val="00494113"/>
    <w:rsid w:val="004A138D"/>
    <w:rsid w:val="004A3421"/>
    <w:rsid w:val="004B3A10"/>
    <w:rsid w:val="004C0F8D"/>
    <w:rsid w:val="004C3016"/>
    <w:rsid w:val="004C4BD9"/>
    <w:rsid w:val="004D01B6"/>
    <w:rsid w:val="004D070A"/>
    <w:rsid w:val="004E0DDD"/>
    <w:rsid w:val="004E1BBF"/>
    <w:rsid w:val="005041D1"/>
    <w:rsid w:val="00506D31"/>
    <w:rsid w:val="00516494"/>
    <w:rsid w:val="0051661A"/>
    <w:rsid w:val="005219DB"/>
    <w:rsid w:val="00521B1E"/>
    <w:rsid w:val="005331BA"/>
    <w:rsid w:val="00541B61"/>
    <w:rsid w:val="005439DD"/>
    <w:rsid w:val="005752ED"/>
    <w:rsid w:val="0058532E"/>
    <w:rsid w:val="00591C50"/>
    <w:rsid w:val="00595FA5"/>
    <w:rsid w:val="00597FAD"/>
    <w:rsid w:val="005C0663"/>
    <w:rsid w:val="005C1798"/>
    <w:rsid w:val="005C1C17"/>
    <w:rsid w:val="005D05A3"/>
    <w:rsid w:val="005D68C1"/>
    <w:rsid w:val="005E05D3"/>
    <w:rsid w:val="005F0A97"/>
    <w:rsid w:val="005F300E"/>
    <w:rsid w:val="0060102F"/>
    <w:rsid w:val="00604FE6"/>
    <w:rsid w:val="00630FF9"/>
    <w:rsid w:val="00654232"/>
    <w:rsid w:val="0067111A"/>
    <w:rsid w:val="006725D3"/>
    <w:rsid w:val="006774B5"/>
    <w:rsid w:val="006821F9"/>
    <w:rsid w:val="006A3867"/>
    <w:rsid w:val="006B148C"/>
    <w:rsid w:val="006B4679"/>
    <w:rsid w:val="006C02DE"/>
    <w:rsid w:val="006C5A59"/>
    <w:rsid w:val="006D0523"/>
    <w:rsid w:val="006E47A1"/>
    <w:rsid w:val="006F3635"/>
    <w:rsid w:val="007000FD"/>
    <w:rsid w:val="00700E89"/>
    <w:rsid w:val="00710786"/>
    <w:rsid w:val="00714290"/>
    <w:rsid w:val="00730710"/>
    <w:rsid w:val="00733D3F"/>
    <w:rsid w:val="00740249"/>
    <w:rsid w:val="0076518B"/>
    <w:rsid w:val="00767A0D"/>
    <w:rsid w:val="007706CB"/>
    <w:rsid w:val="007711E0"/>
    <w:rsid w:val="0077236C"/>
    <w:rsid w:val="00776E10"/>
    <w:rsid w:val="00780048"/>
    <w:rsid w:val="00783FD1"/>
    <w:rsid w:val="00786BB8"/>
    <w:rsid w:val="007A0089"/>
    <w:rsid w:val="007B3022"/>
    <w:rsid w:val="007B4603"/>
    <w:rsid w:val="007C0DA7"/>
    <w:rsid w:val="007C6BC1"/>
    <w:rsid w:val="007C7DE9"/>
    <w:rsid w:val="007E11A3"/>
    <w:rsid w:val="007E2EC0"/>
    <w:rsid w:val="007F1888"/>
    <w:rsid w:val="00804FEB"/>
    <w:rsid w:val="00817B12"/>
    <w:rsid w:val="0082079F"/>
    <w:rsid w:val="00832CC8"/>
    <w:rsid w:val="008360FF"/>
    <w:rsid w:val="00842B58"/>
    <w:rsid w:val="008523E6"/>
    <w:rsid w:val="00862E2A"/>
    <w:rsid w:val="0087350F"/>
    <w:rsid w:val="0088782A"/>
    <w:rsid w:val="00887D13"/>
    <w:rsid w:val="00890A0B"/>
    <w:rsid w:val="00890E9E"/>
    <w:rsid w:val="00896B38"/>
    <w:rsid w:val="008970A4"/>
    <w:rsid w:val="008A2085"/>
    <w:rsid w:val="008A4D7D"/>
    <w:rsid w:val="008B4520"/>
    <w:rsid w:val="008B7C3C"/>
    <w:rsid w:val="008E0141"/>
    <w:rsid w:val="008E7F97"/>
    <w:rsid w:val="008F1F2B"/>
    <w:rsid w:val="00903BA9"/>
    <w:rsid w:val="0090761A"/>
    <w:rsid w:val="00920AC1"/>
    <w:rsid w:val="00922806"/>
    <w:rsid w:val="00932497"/>
    <w:rsid w:val="00941FEE"/>
    <w:rsid w:val="00942F80"/>
    <w:rsid w:val="00945D5C"/>
    <w:rsid w:val="009460D1"/>
    <w:rsid w:val="00981AF0"/>
    <w:rsid w:val="0099111E"/>
    <w:rsid w:val="00991F14"/>
    <w:rsid w:val="009A1BE7"/>
    <w:rsid w:val="009B5D25"/>
    <w:rsid w:val="009B67BA"/>
    <w:rsid w:val="009C5103"/>
    <w:rsid w:val="009C629B"/>
    <w:rsid w:val="009D1D3A"/>
    <w:rsid w:val="009D7094"/>
    <w:rsid w:val="009E2F96"/>
    <w:rsid w:val="009E716B"/>
    <w:rsid w:val="009F6FC5"/>
    <w:rsid w:val="00A03F6F"/>
    <w:rsid w:val="00A10B5B"/>
    <w:rsid w:val="00A14D68"/>
    <w:rsid w:val="00A27265"/>
    <w:rsid w:val="00A37586"/>
    <w:rsid w:val="00A4233D"/>
    <w:rsid w:val="00A5184F"/>
    <w:rsid w:val="00A61CD5"/>
    <w:rsid w:val="00A7621E"/>
    <w:rsid w:val="00A76EE4"/>
    <w:rsid w:val="00A777CE"/>
    <w:rsid w:val="00A92D4E"/>
    <w:rsid w:val="00AA06D5"/>
    <w:rsid w:val="00AA6328"/>
    <w:rsid w:val="00AB239C"/>
    <w:rsid w:val="00AC1BFA"/>
    <w:rsid w:val="00AC2827"/>
    <w:rsid w:val="00AC2A7A"/>
    <w:rsid w:val="00AC5456"/>
    <w:rsid w:val="00AD06E1"/>
    <w:rsid w:val="00AD20D0"/>
    <w:rsid w:val="00AD3670"/>
    <w:rsid w:val="00AD6CC8"/>
    <w:rsid w:val="00AE64BE"/>
    <w:rsid w:val="00AF195D"/>
    <w:rsid w:val="00B12866"/>
    <w:rsid w:val="00B17C43"/>
    <w:rsid w:val="00B34B62"/>
    <w:rsid w:val="00B4175F"/>
    <w:rsid w:val="00B45D5E"/>
    <w:rsid w:val="00B55F05"/>
    <w:rsid w:val="00B60D48"/>
    <w:rsid w:val="00B61047"/>
    <w:rsid w:val="00B71003"/>
    <w:rsid w:val="00B725C7"/>
    <w:rsid w:val="00B73030"/>
    <w:rsid w:val="00B7440C"/>
    <w:rsid w:val="00B74539"/>
    <w:rsid w:val="00B8504F"/>
    <w:rsid w:val="00B94936"/>
    <w:rsid w:val="00BA033C"/>
    <w:rsid w:val="00BB1EF6"/>
    <w:rsid w:val="00BC1CEA"/>
    <w:rsid w:val="00BC72F9"/>
    <w:rsid w:val="00BD50EE"/>
    <w:rsid w:val="00BD711D"/>
    <w:rsid w:val="00BF281F"/>
    <w:rsid w:val="00C037E6"/>
    <w:rsid w:val="00C060BA"/>
    <w:rsid w:val="00C17B20"/>
    <w:rsid w:val="00C23EBC"/>
    <w:rsid w:val="00C26416"/>
    <w:rsid w:val="00C41A44"/>
    <w:rsid w:val="00C429A2"/>
    <w:rsid w:val="00C50A0C"/>
    <w:rsid w:val="00C54724"/>
    <w:rsid w:val="00C570BF"/>
    <w:rsid w:val="00C64C23"/>
    <w:rsid w:val="00C6587E"/>
    <w:rsid w:val="00C67C13"/>
    <w:rsid w:val="00C713D2"/>
    <w:rsid w:val="00C76695"/>
    <w:rsid w:val="00C958A8"/>
    <w:rsid w:val="00CA45AF"/>
    <w:rsid w:val="00CB56AB"/>
    <w:rsid w:val="00CC3464"/>
    <w:rsid w:val="00CC4B05"/>
    <w:rsid w:val="00CD28AD"/>
    <w:rsid w:val="00CE4B1E"/>
    <w:rsid w:val="00CF0EB0"/>
    <w:rsid w:val="00D10F47"/>
    <w:rsid w:val="00D144B9"/>
    <w:rsid w:val="00D21DE6"/>
    <w:rsid w:val="00D63503"/>
    <w:rsid w:val="00D64E43"/>
    <w:rsid w:val="00D70F0C"/>
    <w:rsid w:val="00D74802"/>
    <w:rsid w:val="00DA2B6E"/>
    <w:rsid w:val="00DA2D08"/>
    <w:rsid w:val="00DA5576"/>
    <w:rsid w:val="00DB2134"/>
    <w:rsid w:val="00DC5DE3"/>
    <w:rsid w:val="00DC7212"/>
    <w:rsid w:val="00DD7C41"/>
    <w:rsid w:val="00DE0870"/>
    <w:rsid w:val="00DF0A8F"/>
    <w:rsid w:val="00DF7F08"/>
    <w:rsid w:val="00E07A29"/>
    <w:rsid w:val="00E136F9"/>
    <w:rsid w:val="00E14912"/>
    <w:rsid w:val="00E155D9"/>
    <w:rsid w:val="00E21B1F"/>
    <w:rsid w:val="00E37E9A"/>
    <w:rsid w:val="00E55958"/>
    <w:rsid w:val="00E72EF0"/>
    <w:rsid w:val="00E72F8A"/>
    <w:rsid w:val="00E76C58"/>
    <w:rsid w:val="00E8048F"/>
    <w:rsid w:val="00EC7876"/>
    <w:rsid w:val="00ED6F1F"/>
    <w:rsid w:val="00EF0858"/>
    <w:rsid w:val="00F13CF8"/>
    <w:rsid w:val="00F14B51"/>
    <w:rsid w:val="00F1788C"/>
    <w:rsid w:val="00F34F8E"/>
    <w:rsid w:val="00F71394"/>
    <w:rsid w:val="00F73A25"/>
    <w:rsid w:val="00F96377"/>
    <w:rsid w:val="00FA632B"/>
    <w:rsid w:val="00FB0EFD"/>
    <w:rsid w:val="00FC2F04"/>
    <w:rsid w:val="00FC4548"/>
    <w:rsid w:val="00FC6462"/>
    <w:rsid w:val="00FC6AEE"/>
    <w:rsid w:val="00FD3B60"/>
    <w:rsid w:val="00FD6FA3"/>
    <w:rsid w:val="00FF2B43"/>
    <w:rsid w:val="00FF2B67"/>
    <w:rsid w:val="00FF2DEB"/>
    <w:rsid w:val="00FF76AE"/>
    <w:rsid w:val="5E2E4DE0"/>
    <w:rsid w:val="67BF15A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0"/>
    <w:autoRedefine/>
    <w:semiHidden/>
    <w:unhideWhenUsed/>
    <w:qFormat/>
    <w:uiPriority w:val="99"/>
    <w:pPr>
      <w:spacing w:after="0" w:line="240" w:lineRule="auto"/>
    </w:pPr>
    <w:rPr>
      <w:rFonts w:ascii="Tahoma" w:hAnsi="Tahoma" w:cs="Tahoma"/>
      <w:sz w:val="16"/>
      <w:szCs w:val="16"/>
    </w:rPr>
  </w:style>
  <w:style w:type="paragraph" w:styleId="5">
    <w:name w:val="Body Text Indent"/>
    <w:basedOn w:val="1"/>
    <w:unhideWhenUsed/>
    <w:uiPriority w:val="0"/>
    <w:pPr>
      <w:spacing w:after="0" w:line="360" w:lineRule="auto"/>
      <w:ind w:firstLine="720"/>
      <w:jc w:val="both"/>
    </w:pPr>
    <w:rPr>
      <w:rFonts w:ascii="Times New Roman" w:hAnsi="Times New Roman" w:eastAsia="Times New Roman" w:cs="Times New Roman"/>
      <w:sz w:val="24"/>
      <w:szCs w:val="24"/>
    </w:rPr>
  </w:style>
  <w:style w:type="paragraph" w:customStyle="1" w:styleId="6">
    <w:name w:val="Знак Знак Знак Знак Знак Знак"/>
    <w:basedOn w:val="1"/>
    <w:autoRedefine/>
    <w:qFormat/>
    <w:uiPriority w:val="0"/>
    <w:pPr>
      <w:spacing w:after="160" w:line="240" w:lineRule="exact"/>
    </w:pPr>
    <w:rPr>
      <w:rFonts w:ascii="Verdana" w:hAnsi="Verdana" w:eastAsia="Times New Roman" w:cs="Verdana"/>
      <w:sz w:val="20"/>
      <w:szCs w:val="20"/>
      <w:lang w:val="en-US"/>
    </w:rPr>
  </w:style>
  <w:style w:type="paragraph" w:styleId="7">
    <w:name w:val="List Paragraph"/>
    <w:basedOn w:val="1"/>
    <w:autoRedefine/>
    <w:qFormat/>
    <w:uiPriority w:val="34"/>
    <w:pPr>
      <w:ind w:left="720"/>
      <w:contextualSpacing/>
    </w:pPr>
  </w:style>
  <w:style w:type="character" w:customStyle="1" w:styleId="8">
    <w:name w:val="Заголовок №1_"/>
    <w:basedOn w:val="2"/>
    <w:link w:val="9"/>
    <w:uiPriority w:val="0"/>
    <w:rPr>
      <w:rFonts w:ascii="Times New Roman" w:hAnsi="Times New Roman" w:eastAsia="Times New Roman" w:cs="Times New Roman"/>
      <w:sz w:val="27"/>
      <w:szCs w:val="27"/>
      <w:shd w:val="clear" w:color="auto" w:fill="FFFFFF"/>
    </w:rPr>
  </w:style>
  <w:style w:type="paragraph" w:customStyle="1" w:styleId="9">
    <w:name w:val="Заголовок №1"/>
    <w:basedOn w:val="1"/>
    <w:link w:val="8"/>
    <w:autoRedefine/>
    <w:qFormat/>
    <w:uiPriority w:val="0"/>
    <w:pPr>
      <w:shd w:val="clear" w:color="auto" w:fill="FFFFFF"/>
      <w:spacing w:before="300" w:after="0" w:line="0" w:lineRule="atLeast"/>
      <w:jc w:val="center"/>
      <w:outlineLvl w:val="0"/>
    </w:pPr>
    <w:rPr>
      <w:rFonts w:ascii="Times New Roman" w:hAnsi="Times New Roman" w:eastAsia="Times New Roman" w:cs="Times New Roman"/>
      <w:sz w:val="27"/>
      <w:szCs w:val="27"/>
    </w:rPr>
  </w:style>
  <w:style w:type="character" w:customStyle="1" w:styleId="10">
    <w:name w:val="Текст выноски Знак"/>
    <w:basedOn w:val="2"/>
    <w:link w:val="4"/>
    <w:autoRedefine/>
    <w:semiHidden/>
    <w:qFormat/>
    <w:uiPriority w:val="99"/>
    <w:rPr>
      <w:rFonts w:ascii="Tahoma" w:hAnsi="Tahoma" w:cs="Tahoma"/>
      <w:sz w:val="16"/>
      <w:szCs w:val="16"/>
    </w:rPr>
  </w:style>
  <w:style w:type="character" w:customStyle="1" w:styleId="11">
    <w:name w:val="apple-converted-space"/>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themeOverride" Target="../theme/themeOverride1.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5.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package" Target="../embeddings/Workbook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Лист1!$B$1</c:f>
              <c:strCache>
                <c:ptCount val="1"/>
                <c:pt idx="0">
                  <c:v>налоговые доходы</c:v>
                </c:pt>
              </c:strCache>
            </c:strRef>
          </c:tx>
          <c:invertIfNegative val="0"/>
          <c:dLbls>
            <c:dLbl>
              <c:idx val="0"/>
              <c:layout/>
              <c:tx>
                <c:rich>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r>
                      <a:rPr lang="en-US"/>
                      <a:t>1</a:t>
                    </a:r>
                    <a:r>
                      <a:rPr lang="ru-RU"/>
                      <a:t>446</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r>
                      <a:rPr lang="ru-RU"/>
                      <a:t>1714</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Лист1!$A$2:$A$3</c:f>
              <c:numCache>
                <c:formatCode>General</c:formatCode>
                <c:ptCount val="2"/>
                <c:pt idx="0">
                  <c:v>2023</c:v>
                </c:pt>
                <c:pt idx="1">
                  <c:v>2024</c:v>
                </c:pt>
              </c:numCache>
            </c:numRef>
          </c:cat>
          <c:val>
            <c:numRef>
              <c:f>Лист1!$B$2:$B$3</c:f>
              <c:numCache>
                <c:formatCode>General</c:formatCode>
                <c:ptCount val="2"/>
                <c:pt idx="0">
                  <c:v>1714</c:v>
                </c:pt>
                <c:pt idx="1">
                  <c:v>1777</c:v>
                </c:pt>
              </c:numCache>
            </c:numRef>
          </c:val>
        </c:ser>
        <c:ser>
          <c:idx val="1"/>
          <c:order val="1"/>
          <c:tx>
            <c:strRef>
              <c:f>Лист1!$C$1</c:f>
              <c:strCache>
                <c:ptCount val="1"/>
                <c:pt idx="0">
                  <c:v>неналоговые доходы</c:v>
                </c:pt>
              </c:strCache>
            </c:strRef>
          </c:tx>
          <c:invertIfNegative val="0"/>
          <c:dLbls>
            <c:dLbl>
              <c:idx val="0"/>
              <c:layout/>
              <c:tx>
                <c:rich>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r>
                      <a:rPr lang="ru-RU"/>
                      <a:t>817</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r>
                      <a:rPr lang="ru-RU"/>
                      <a:t>474</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Лист1!$A$2:$A$3</c:f>
              <c:numCache>
                <c:formatCode>General</c:formatCode>
                <c:ptCount val="2"/>
                <c:pt idx="0">
                  <c:v>2023</c:v>
                </c:pt>
                <c:pt idx="1">
                  <c:v>2024</c:v>
                </c:pt>
              </c:numCache>
            </c:numRef>
          </c:cat>
          <c:val>
            <c:numRef>
              <c:f>Лист1!$C$2:$C$3</c:f>
              <c:numCache>
                <c:formatCode>General</c:formatCode>
                <c:ptCount val="2"/>
                <c:pt idx="0">
                  <c:v>474</c:v>
                </c:pt>
                <c:pt idx="1">
                  <c:v>377</c:v>
                </c:pt>
              </c:numCache>
            </c:numRef>
          </c:val>
        </c:ser>
        <c:ser>
          <c:idx val="2"/>
          <c:order val="2"/>
          <c:tx>
            <c:strRef>
              <c:f>Лист1!$D$1</c:f>
              <c:strCache>
                <c:ptCount val="1"/>
                <c:pt idx="0">
                  <c:v>дотации</c:v>
                </c:pt>
              </c:strCache>
            </c:strRef>
          </c:tx>
          <c:invertIfNegative val="0"/>
          <c:dLbls>
            <c:dLbl>
              <c:idx val="0"/>
              <c:layout/>
              <c:tx>
                <c:rich>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r>
                      <a:rPr lang="en-US"/>
                      <a:t>3</a:t>
                    </a:r>
                    <a:r>
                      <a:rPr lang="ru-RU"/>
                      <a:t>981</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r>
                      <a:rPr lang="ru-RU"/>
                      <a:t>4369</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Лист1!$A$2:$A$3</c:f>
              <c:numCache>
                <c:formatCode>General</c:formatCode>
                <c:ptCount val="2"/>
                <c:pt idx="0">
                  <c:v>2023</c:v>
                </c:pt>
                <c:pt idx="1">
                  <c:v>2024</c:v>
                </c:pt>
              </c:numCache>
            </c:numRef>
          </c:cat>
          <c:val>
            <c:numRef>
              <c:f>Лист1!$D$2:$D$3</c:f>
              <c:numCache>
                <c:formatCode>General</c:formatCode>
                <c:ptCount val="2"/>
                <c:pt idx="0">
                  <c:v>4369</c:v>
                </c:pt>
                <c:pt idx="1">
                  <c:v>4335</c:v>
                </c:pt>
              </c:numCache>
            </c:numRef>
          </c:val>
        </c:ser>
        <c:dLbls>
          <c:showLegendKey val="0"/>
          <c:showVal val="1"/>
          <c:showCatName val="0"/>
          <c:showSerName val="0"/>
          <c:showPercent val="0"/>
          <c:showBubbleSize val="0"/>
        </c:dLbls>
        <c:gapWidth val="150"/>
        <c:overlap val="100"/>
        <c:axId val="95570560"/>
        <c:axId val="95594368"/>
      </c:barChart>
      <c:catAx>
        <c:axId val="95570560"/>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ru-RU" sz="1000" b="0" i="0" u="none" strike="noStrike" kern="1200" baseline="0">
                <a:solidFill>
                  <a:schemeClr val="tx1"/>
                </a:solidFill>
                <a:latin typeface="+mn-lt"/>
                <a:ea typeface="+mn-ea"/>
                <a:cs typeface="+mn-cs"/>
              </a:defRPr>
            </a:pPr>
          </a:p>
        </c:txPr>
        <c:crossAx val="95594368"/>
        <c:crosses val="autoZero"/>
        <c:auto val="1"/>
        <c:lblAlgn val="ctr"/>
        <c:lblOffset val="100"/>
        <c:noMultiLvlLbl val="0"/>
      </c:catAx>
      <c:valAx>
        <c:axId val="95594368"/>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ru-RU" sz="1000" b="0" i="0" u="none" strike="noStrike" kern="1200" baseline="0">
                <a:solidFill>
                  <a:schemeClr val="tx1"/>
                </a:solidFill>
                <a:latin typeface="+mn-lt"/>
                <a:ea typeface="+mn-ea"/>
                <a:cs typeface="+mn-cs"/>
              </a:defRPr>
            </a:pPr>
          </a:p>
        </c:txPr>
        <c:crossAx val="95570560"/>
        <c:crosses val="autoZero"/>
        <c:crossBetween val="between"/>
      </c:valAx>
    </c:plotArea>
    <c:legend>
      <c:legendPos val="r"/>
      <c:layout/>
      <c:overlay val="0"/>
      <c:txPr>
        <a:bodyPr rot="0" spcFirstLastPara="0" vertOverflow="ellipsis" vert="horz" wrap="square" anchor="ctr" anchorCtr="1"/>
        <a:lstStyle/>
        <a:p>
          <a:pPr>
            <a:defRPr lang="ru-RU"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ru-RU"/>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доходы всего</c:v>
                </c:pt>
              </c:strCache>
            </c:strRef>
          </c:tx>
          <c:invertIfNegative val="0"/>
          <c:dLbls>
            <c:spPr>
              <a:noFill/>
              <a:ln w="25363">
                <a:noFill/>
              </a:ln>
              <a:effectLst/>
            </c:spPr>
            <c:txPr>
              <a:bodyPr rot="0" spcFirstLastPara="0" vertOverflow="ellipsis" vert="horz" wrap="square" lIns="38100" tIns="19050" rIns="38100" bIns="19050" anchor="ctr" anchorCtr="1"/>
              <a:lstStyle/>
              <a:p>
                <a:pPr>
                  <a:defRPr lang="ru-RU" sz="1100" b="1" i="0" u="none" strike="noStrike" kern="1200" baseline="0">
                    <a:solidFill>
                      <a:srgbClr val="000000"/>
                    </a:solidFill>
                    <a:latin typeface="Calibri" panose="020F0502020204030204"/>
                    <a:ea typeface="Calibri" panose="020F0502020204030204"/>
                    <a:cs typeface="Calibri" panose="020F050202020403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Лист1!$A$2:$A$5</c:f>
              <c:numCache>
                <c:formatCode>General</c:formatCode>
                <c:ptCount val="4"/>
                <c:pt idx="0">
                  <c:v>2023</c:v>
                </c:pt>
                <c:pt idx="2">
                  <c:v>2024</c:v>
                </c:pt>
              </c:numCache>
            </c:numRef>
          </c:cat>
          <c:val>
            <c:numRef>
              <c:f>Лист1!$B$2:$B$5</c:f>
              <c:numCache>
                <c:formatCode>General</c:formatCode>
                <c:ptCount val="4"/>
                <c:pt idx="0">
                  <c:v>6558504.95</c:v>
                </c:pt>
                <c:pt idx="2">
                  <c:v>6488707.38</c:v>
                </c:pt>
              </c:numCache>
            </c:numRef>
          </c:val>
        </c:ser>
        <c:ser>
          <c:idx val="1"/>
          <c:order val="1"/>
          <c:tx>
            <c:strRef>
              <c:f>Лист1!$C$1</c:f>
              <c:strCache>
                <c:ptCount val="1"/>
                <c:pt idx="0">
                  <c:v>налоговые доходы</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1000" b="1" i="0" u="none" strike="noStrike" kern="1200" baseline="0">
                    <a:solidFill>
                      <a:srgbClr val="000000"/>
                    </a:solidFill>
                    <a:latin typeface="Calibri" panose="020F0502020204030204"/>
                    <a:ea typeface="Calibri" panose="020F0502020204030204"/>
                    <a:cs typeface="Calibri" panose="020F050202020403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Лист1!$A$2:$A$5</c:f>
              <c:numCache>
                <c:formatCode>General</c:formatCode>
                <c:ptCount val="4"/>
                <c:pt idx="0">
                  <c:v>2023</c:v>
                </c:pt>
                <c:pt idx="2">
                  <c:v>2024</c:v>
                </c:pt>
              </c:numCache>
            </c:numRef>
          </c:cat>
          <c:val>
            <c:numRef>
              <c:f>Лист1!$C$2:$C$5</c:f>
              <c:numCache>
                <c:formatCode>General</c:formatCode>
                <c:ptCount val="4"/>
                <c:pt idx="0">
                  <c:v>2189098.72</c:v>
                </c:pt>
                <c:pt idx="2">
                  <c:v>2153780.58</c:v>
                </c:pt>
              </c:numCache>
            </c:numRef>
          </c:val>
        </c:ser>
        <c:dLbls>
          <c:showLegendKey val="0"/>
          <c:showVal val="1"/>
          <c:showCatName val="0"/>
          <c:showSerName val="0"/>
          <c:showPercent val="0"/>
          <c:showBubbleSize val="0"/>
        </c:dLbls>
        <c:gapWidth val="150"/>
        <c:axId val="108525440"/>
        <c:axId val="113584768"/>
      </c:barChart>
      <c:catAx>
        <c:axId val="108525440"/>
        <c:scaling>
          <c:orientation val="minMax"/>
        </c:scaling>
        <c:delete val="0"/>
        <c:axPos val="b"/>
        <c:numFmt formatCode="General" sourceLinked="1"/>
        <c:majorTickMark val="out"/>
        <c:minorTickMark val="none"/>
        <c:tickLblPos val="nextTo"/>
        <c:txPr>
          <a:bodyPr rot="0" spcFirstLastPara="0" vertOverflow="ellipsis" vert="horz" wrap="square" anchor="ctr" anchorCtr="1"/>
          <a:lstStyle/>
          <a:p>
            <a:pPr>
              <a:defRPr lang="ru-RU" sz="1000" b="0" i="0" u="none" strike="noStrike" kern="1200" baseline="0">
                <a:solidFill>
                  <a:srgbClr val="000000"/>
                </a:solidFill>
                <a:latin typeface="Calibri" panose="020F0502020204030204"/>
                <a:ea typeface="Calibri" panose="020F0502020204030204"/>
                <a:cs typeface="Calibri" panose="020F0502020204030204"/>
              </a:defRPr>
            </a:pPr>
          </a:p>
        </c:txPr>
        <c:crossAx val="113584768"/>
        <c:crosses val="autoZero"/>
        <c:auto val="1"/>
        <c:lblAlgn val="ctr"/>
        <c:lblOffset val="100"/>
        <c:noMultiLvlLbl val="0"/>
      </c:catAx>
      <c:valAx>
        <c:axId val="113584768"/>
        <c:scaling>
          <c:orientation val="minMax"/>
        </c:scaling>
        <c:delete val="1"/>
        <c:axPos val="l"/>
        <c:numFmt formatCode="General" sourceLinked="1"/>
        <c:majorTickMark val="out"/>
        <c:minorTickMark val="none"/>
        <c:tickLblPos val="nextTo"/>
        <c:txPr>
          <a:bodyPr rot="-60000000" spcFirstLastPara="0" vertOverflow="ellipsis" vert="horz" wrap="square" anchor="ctr" anchorCtr="1"/>
          <a:lstStyle/>
          <a:p>
            <a:pPr>
              <a:defRPr lang="ru-RU" sz="1000" b="0" i="0" u="none" strike="noStrike" kern="1200" baseline="0">
                <a:solidFill>
                  <a:srgbClr val="000000"/>
                </a:solidFill>
                <a:latin typeface="Calibri" panose="020F0502020204030204"/>
                <a:ea typeface="Calibri" panose="020F0502020204030204"/>
                <a:cs typeface="Calibri" panose="020F0502020204030204"/>
              </a:defRPr>
            </a:pPr>
          </a:p>
        </c:txPr>
        <c:crossAx val="108525440"/>
        <c:crosses val="autoZero"/>
        <c:crossBetween val="between"/>
      </c:valAx>
    </c:plotArea>
    <c:legend>
      <c:legendPos val="r"/>
      <c:layout>
        <c:manualLayout>
          <c:xMode val="edge"/>
          <c:yMode val="edge"/>
          <c:x val="0.772887323943662"/>
          <c:y val="0.42443729903537"/>
          <c:w val="0.211267605633803"/>
          <c:h val="0.144694533762058"/>
        </c:manualLayout>
      </c:layout>
      <c:overlay val="0"/>
      <c:txPr>
        <a:bodyPr rot="0" spcFirstLastPara="0" vertOverflow="ellipsis" vert="horz" wrap="square" anchor="ctr" anchorCtr="1"/>
        <a:lstStyle/>
        <a:p>
          <a:pPr>
            <a:defRPr lang="ru-RU" sz="920" b="0" i="0" u="none" strike="noStrike" kern="1200" baseline="0">
              <a:solidFill>
                <a:srgbClr val="000000"/>
              </a:solidFill>
              <a:latin typeface="Calibri" panose="020F0502020204030204"/>
              <a:ea typeface="Calibri" panose="020F0502020204030204"/>
              <a:cs typeface="Calibri" panose="020F0502020204030204"/>
            </a:defRPr>
          </a:pPr>
        </a:p>
      </c:txPr>
    </c:legend>
    <c:plotVisOnly val="1"/>
    <c:dispBlanksAs val="gap"/>
    <c:showDLblsOverMax val="0"/>
  </c:chart>
  <c:txPr>
    <a:bodyPr/>
    <a:lstStyle/>
    <a:p>
      <a:pPr>
        <a:defRPr lang="ru-RU" sz="1000" b="0" i="0" u="none" strike="noStrike" baseline="0">
          <a:solidFill>
            <a:srgbClr val="000000"/>
          </a:solidFill>
          <a:latin typeface="Calibri" panose="020F0502020204030204"/>
          <a:ea typeface="Calibri" panose="020F0502020204030204"/>
          <a:cs typeface="Calibri" panose="020F0502020204030204"/>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НДФЛ</c:v>
                </c:pt>
              </c:strCache>
            </c:strRef>
          </c:tx>
          <c:spPr>
            <a:blipFill>
              <a:blip xmlns:r="http://schemas.openxmlformats.org/officeDocument/2006/relationships" r:embed="rId3"/>
              <a:tile tx="0" ty="0" sx="100000" sy="100000" flip="none" algn="tl"/>
            </a:blipFill>
            <a:scene3d>
              <a:camera prst="orthographicFront"/>
              <a:lightRig rig="threePt" dir="t"/>
            </a:scene3d>
            <a:sp3d>
              <a:bevelT w="6350"/>
              <a:bevelB w="6350" h="82550"/>
            </a:sp3d>
          </c:spPr>
          <c:invertIfNegative val="1"/>
          <c:dLbls>
            <c:spPr>
              <a:noFill/>
              <a:ln>
                <a:noFill/>
              </a:ln>
              <a:effectLst/>
            </c:spPr>
            <c:txPr>
              <a:bodyPr rot="0" spcFirstLastPara="0" vertOverflow="ellipsis" vert="horz" wrap="square" lIns="38100" tIns="19050" rIns="38100" bIns="19050" anchor="ctr" anchorCtr="1"/>
              <a:lstStyle/>
              <a:p>
                <a:pPr>
                  <a:defRPr lang="ru-RU" sz="1000" b="1"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Лист1!$B$2:$B$6</c:f>
              <c:numCache>
                <c:formatCode>General</c:formatCode>
                <c:ptCount val="5"/>
                <c:pt idx="0">
                  <c:v>56.5</c:v>
                </c:pt>
                <c:pt idx="3">
                  <c:v>106.3</c:v>
                </c:pt>
              </c:numCache>
            </c:numRef>
          </c:val>
        </c:ser>
        <c:ser>
          <c:idx val="1"/>
          <c:order val="1"/>
          <c:tx>
            <c:strRef>
              <c:f>Лист1!$C$1</c:f>
              <c:strCache>
                <c:ptCount val="1"/>
                <c:pt idx="0">
                  <c:v>Зем.н.</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1000" b="1"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Лист1!$C$2:$C$6</c:f>
              <c:numCache>
                <c:formatCode>General</c:formatCode>
                <c:ptCount val="5"/>
                <c:pt idx="0">
                  <c:v>1031.5</c:v>
                </c:pt>
                <c:pt idx="3">
                  <c:v>1013.2</c:v>
                </c:pt>
              </c:numCache>
            </c:numRef>
          </c:val>
        </c:ser>
        <c:ser>
          <c:idx val="2"/>
          <c:order val="2"/>
          <c:tx>
            <c:strRef>
              <c:f>Лист1!$D$1</c:f>
              <c:strCache>
                <c:ptCount val="1"/>
                <c:pt idx="0">
                  <c:v>с/х н.</c:v>
                </c:pt>
              </c:strCache>
            </c:strRef>
          </c:tx>
          <c:invertIfNegative val="0"/>
          <c:dLbls>
            <c:delete val="1"/>
          </c:dLbls>
          <c:cat>
            <c:numRef>
              <c:f>Лист1!$A$2:$A$6</c:f>
              <c:numCache>
                <c:formatCode>General</c:formatCode>
                <c:ptCount val="5"/>
                <c:pt idx="0">
                  <c:v>2023</c:v>
                </c:pt>
                <c:pt idx="3">
                  <c:v>2024</c:v>
                </c:pt>
              </c:numCache>
            </c:numRef>
          </c:cat>
          <c:val>
            <c:numRef>
              <c:f>Лист1!$D$2:$D$6</c:f>
              <c:numCache>
                <c:formatCode>General</c:formatCode>
                <c:ptCount val="5"/>
                <c:pt idx="0">
                  <c:v>348.1</c:v>
                </c:pt>
                <c:pt idx="3">
                  <c:v>257.5</c:v>
                </c:pt>
              </c:numCache>
            </c:numRef>
          </c:val>
        </c:ser>
        <c:ser>
          <c:idx val="3"/>
          <c:order val="3"/>
          <c:tx>
            <c:strRef>
              <c:f>Лист1!$E$1</c:f>
              <c:strCache>
                <c:ptCount val="1"/>
                <c:pt idx="0">
                  <c:v>на им-во</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1000" b="1"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Лист1!$E$2:$E$6</c:f>
              <c:numCache>
                <c:formatCode>General</c:formatCode>
                <c:ptCount val="5"/>
                <c:pt idx="0">
                  <c:v>278.5</c:v>
                </c:pt>
                <c:pt idx="3">
                  <c:v>66.5</c:v>
                </c:pt>
              </c:numCache>
            </c:numRef>
          </c:val>
        </c:ser>
        <c:ser>
          <c:idx val="4"/>
          <c:order val="4"/>
          <c:tx>
            <c:strRef>
              <c:f>Лист1!$F$1</c:f>
              <c:strCache>
                <c:ptCount val="1"/>
                <c:pt idx="0">
                  <c:v>Столбец1</c:v>
                </c:pt>
              </c:strCache>
            </c:strRef>
          </c:tx>
          <c:invertIfNegative val="0"/>
          <c:dLbls>
            <c:delete val="1"/>
          </c:dLbls>
          <c:cat>
            <c:numRef>
              <c:f>Лист1!$A$2:$A$6</c:f>
              <c:numCache>
                <c:formatCode>General</c:formatCode>
                <c:ptCount val="5"/>
                <c:pt idx="0">
                  <c:v>2023</c:v>
                </c:pt>
                <c:pt idx="3">
                  <c:v>2024</c:v>
                </c:pt>
              </c:numCache>
            </c:numRef>
          </c:cat>
          <c:val>
            <c:numRef>
              <c:f>Лист1!$F$2:$F$6</c:f>
              <c:numCache>
                <c:formatCode>General</c:formatCode>
                <c:ptCount val="5"/>
              </c:numCache>
            </c:numRef>
          </c:val>
        </c:ser>
        <c:ser>
          <c:idx val="5"/>
          <c:order val="5"/>
          <c:tx>
            <c:strRef>
              <c:f>Лист1!$G$1</c:f>
              <c:strCache>
                <c:ptCount val="1"/>
                <c:pt idx="0">
                  <c:v>Столбец2</c:v>
                </c:pt>
              </c:strCache>
            </c:strRef>
          </c:tx>
          <c:invertIfNegative val="0"/>
          <c:dLbls>
            <c:delete val="1"/>
          </c:dLbls>
          <c:cat>
            <c:numRef>
              <c:f>Лист1!$A$2:$A$6</c:f>
              <c:numCache>
                <c:formatCode>General</c:formatCode>
                <c:ptCount val="5"/>
                <c:pt idx="0">
                  <c:v>2023</c:v>
                </c:pt>
                <c:pt idx="3">
                  <c:v>2024</c:v>
                </c:pt>
              </c:numCache>
            </c:numRef>
          </c:cat>
          <c:val>
            <c:numRef>
              <c:f>Лист1!$G$2:$G$6</c:f>
              <c:numCache>
                <c:formatCode>General</c:formatCode>
                <c:ptCount val="5"/>
              </c:numCache>
            </c:numRef>
          </c:val>
        </c:ser>
        <c:dLbls>
          <c:showLegendKey val="0"/>
          <c:showVal val="0"/>
          <c:showCatName val="0"/>
          <c:showSerName val="0"/>
          <c:showPercent val="0"/>
          <c:showBubbleSize val="0"/>
        </c:dLbls>
        <c:gapWidth val="0"/>
        <c:axId val="109275008"/>
        <c:axId val="109276544"/>
      </c:barChart>
      <c:catAx>
        <c:axId val="109275008"/>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ru-RU" sz="1000" b="0" i="0" u="none" strike="noStrike" kern="1200" baseline="0">
                <a:solidFill>
                  <a:schemeClr val="tx1"/>
                </a:solidFill>
                <a:latin typeface="+mn-lt"/>
                <a:ea typeface="+mn-ea"/>
                <a:cs typeface="+mn-cs"/>
              </a:defRPr>
            </a:pPr>
          </a:p>
        </c:txPr>
        <c:crossAx val="109276544"/>
        <c:crosses val="autoZero"/>
        <c:auto val="1"/>
        <c:lblAlgn val="ctr"/>
        <c:lblOffset val="100"/>
        <c:noMultiLvlLbl val="0"/>
      </c:catAx>
      <c:valAx>
        <c:axId val="109276544"/>
        <c:scaling>
          <c:orientation val="minMax"/>
        </c:scaling>
        <c:delete val="0"/>
        <c:axPos val="l"/>
        <c:majorGridlines>
          <c:spPr>
            <a:ln w="9525" cap="flat" cmpd="sng" algn="ctr">
              <a:solidFill>
                <a:schemeClr val="accent1"/>
              </a:solidFill>
              <a:prstDash val="solid"/>
              <a:round/>
            </a:ln>
          </c:spPr>
        </c:majorGridlines>
        <c:numFmt formatCode="General" sourceLinked="1"/>
        <c:majorTickMark val="out"/>
        <c:minorTickMark val="none"/>
        <c:tickLblPos val="nextTo"/>
        <c:txPr>
          <a:bodyPr rot="-60000000" spcFirstLastPara="0" vertOverflow="ellipsis" vert="horz" wrap="square" anchor="ctr" anchorCtr="1"/>
          <a:lstStyle/>
          <a:p>
            <a:pPr>
              <a:defRPr lang="ru-RU" sz="1000" b="0" i="0" u="none" strike="noStrike" kern="1200" baseline="0">
                <a:solidFill>
                  <a:schemeClr val="tx1"/>
                </a:solidFill>
                <a:latin typeface="+mn-lt"/>
                <a:ea typeface="+mn-ea"/>
                <a:cs typeface="+mn-cs"/>
              </a:defRPr>
            </a:pPr>
          </a:p>
        </c:txPr>
        <c:crossAx val="109275008"/>
        <c:crosses val="autoZero"/>
        <c:crossBetween val="between"/>
      </c:valAx>
      <c:spPr>
        <a:solidFill>
          <a:schemeClr val="bg1"/>
        </a:solidFill>
        <a:ln>
          <a:noFill/>
        </a:ln>
        <a:effectLst/>
      </c:spPr>
    </c:plotArea>
    <c:legend>
      <c:legendPos val="r"/>
      <c:legendEntry>
        <c:idx val="4"/>
        <c:delete val="1"/>
      </c:legendEntry>
      <c:legendEntry>
        <c:idx val="5"/>
        <c:delete val="1"/>
      </c:legendEntry>
      <c:layout>
        <c:manualLayout>
          <c:xMode val="edge"/>
          <c:yMode val="edge"/>
          <c:x val="0.827350427350428"/>
          <c:y val="0.385563380281693"/>
          <c:w val="0.157264957264957"/>
          <c:h val="0.253521126760563"/>
        </c:manualLayout>
      </c:layout>
      <c:overlay val="0"/>
      <c:txPr>
        <a:bodyPr rot="0" spcFirstLastPara="0" vertOverflow="ellipsis" vert="horz" wrap="square" anchor="ctr" anchorCtr="1"/>
        <a:lstStyle/>
        <a:p>
          <a:pPr>
            <a:defRPr lang="ru-RU"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ru-RU"/>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Pr>
        <a:bodyPr rot="0" spcFirstLastPara="0" vertOverflow="ellipsis" vert="horz" wrap="square" anchor="ctr" anchorCtr="1"/>
        <a:lstStyle/>
        <a:p>
          <a:pPr>
            <a:defRPr lang="ru-RU" sz="1800" b="1" i="0" u="none" strike="noStrike" kern="1200" baseline="0">
              <a:solidFill>
                <a:schemeClr val="tx1"/>
              </a:solidFill>
              <a:latin typeface="+mn-lt"/>
              <a:ea typeface="+mn-ea"/>
              <a:cs typeface="+mn-cs"/>
            </a:defRPr>
          </a:pPr>
        </a:p>
      </c:txPr>
    </c:title>
    <c:autoTitleDeleted val="0"/>
    <c:view3D>
      <c:rotX val="75"/>
      <c:rotY val="0"/>
      <c:depthPercent val="10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АРЕНДА</c:v>
                </c:pt>
              </c:strCache>
            </c:strRef>
          </c:tx>
          <c:explosion val="0"/>
          <c:dPt>
            <c:idx val="0"/>
            <c:bubble3D val="0"/>
          </c:dPt>
          <c:dPt>
            <c:idx val="1"/>
            <c:bubble3D val="0"/>
          </c:dPt>
          <c:dLbls>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numRef>
              <c:f>Лист1!$A$2:$A$3</c:f>
              <c:numCache>
                <c:formatCode>General</c:formatCode>
                <c:ptCount val="2"/>
                <c:pt idx="0">
                  <c:v>2023</c:v>
                </c:pt>
                <c:pt idx="1">
                  <c:v>2024</c:v>
                </c:pt>
              </c:numCache>
            </c:numRef>
          </c:cat>
          <c:val>
            <c:numRef>
              <c:f>Лист1!$B$2:$B$3</c:f>
              <c:numCache>
                <c:formatCode>General</c:formatCode>
                <c:ptCount val="2"/>
                <c:pt idx="0">
                  <c:v>108.2</c:v>
                </c:pt>
                <c:pt idx="1">
                  <c:v>100.5</c:v>
                </c:pt>
              </c:numCache>
            </c:numRef>
          </c:val>
        </c:ser>
        <c:ser>
          <c:idx val="1"/>
          <c:order val="1"/>
          <c:tx>
            <c:strRef>
              <c:f>Лист1!$C$1</c:f>
              <c:strCache>
                <c:ptCount val="1"/>
                <c:pt idx="0">
                  <c:v>Столбец1</c:v>
                </c:pt>
              </c:strCache>
            </c:strRef>
          </c:tx>
          <c:explosion val="0"/>
          <c:dPt>
            <c:idx val="0"/>
            <c:bubble3D val="0"/>
          </c:dPt>
          <c:dPt>
            <c:idx val="1"/>
            <c:bubble3D val="0"/>
          </c:dPt>
          <c:dLbls>
            <c:delete val="1"/>
          </c:dLbls>
          <c:cat>
            <c:numRef>
              <c:f>Лист1!$A$2:$A$3</c:f>
              <c:numCache>
                <c:formatCode>General</c:formatCode>
                <c:ptCount val="2"/>
                <c:pt idx="0">
                  <c:v>2023</c:v>
                </c:pt>
                <c:pt idx="1">
                  <c:v>2024</c:v>
                </c:pt>
              </c:numCache>
            </c:numRef>
          </c:cat>
          <c:val>
            <c:numRef>
              <c:f>Лист1!$C$2:$C$3</c:f>
              <c:numCache>
                <c:formatCode>General</c:formatCode>
                <c:ptCount val="2"/>
              </c:numCache>
            </c:numRef>
          </c:val>
        </c:ser>
        <c:ser>
          <c:idx val="2"/>
          <c:order val="2"/>
          <c:tx>
            <c:strRef>
              <c:f>Лист1!$D$1</c:f>
              <c:strCache>
                <c:ptCount val="1"/>
                <c:pt idx="0">
                  <c:v>Столбец2</c:v>
                </c:pt>
              </c:strCache>
            </c:strRef>
          </c:tx>
          <c:explosion val="0"/>
          <c:dPt>
            <c:idx val="0"/>
            <c:bubble3D val="0"/>
          </c:dPt>
          <c:dPt>
            <c:idx val="1"/>
            <c:bubble3D val="0"/>
          </c:dPt>
          <c:dLbls>
            <c:delete val="1"/>
          </c:dLbls>
          <c:cat>
            <c:numRef>
              <c:f>Лист1!$A$2:$A$3</c:f>
              <c:numCache>
                <c:formatCode>General</c:formatCode>
                <c:ptCount val="2"/>
                <c:pt idx="0">
                  <c:v>2023</c:v>
                </c:pt>
                <c:pt idx="1">
                  <c:v>2024</c:v>
                </c:pt>
              </c:numCache>
            </c:numRef>
          </c:cat>
          <c:val>
            <c:numRef>
              <c:f>Лист1!$D$2:$D$3</c:f>
              <c:numCache>
                <c:formatCode>General</c:formatCode>
                <c:ptCount val="2"/>
              </c:numCache>
            </c:numRef>
          </c:val>
        </c:ser>
        <c:ser>
          <c:idx val="3"/>
          <c:order val="3"/>
          <c:tx>
            <c:strRef>
              <c:f>Лист1!$E$1</c:f>
              <c:strCache>
                <c:ptCount val="1"/>
                <c:pt idx="0">
                  <c:v>Столбец3</c:v>
                </c:pt>
              </c:strCache>
            </c:strRef>
          </c:tx>
          <c:explosion val="0"/>
          <c:dPt>
            <c:idx val="0"/>
            <c:bubble3D val="0"/>
          </c:dPt>
          <c:dPt>
            <c:idx val="1"/>
            <c:bubble3D val="0"/>
          </c:dPt>
          <c:dLbls>
            <c:delete val="1"/>
          </c:dLbls>
          <c:cat>
            <c:numRef>
              <c:f>Лист1!$A$2:$A$3</c:f>
              <c:numCache>
                <c:formatCode>General</c:formatCode>
                <c:ptCount val="2"/>
                <c:pt idx="0">
                  <c:v>2023</c:v>
                </c:pt>
                <c:pt idx="1">
                  <c:v>2024</c:v>
                </c:pt>
              </c:numCache>
            </c:numRef>
          </c:cat>
          <c:val>
            <c:numRef>
              <c:f>Лист1!$E$2:$E$3</c:f>
              <c:numCache>
                <c:formatCode>General</c:formatCode>
                <c:ptCount val="2"/>
              </c:numCache>
            </c:numRef>
          </c:val>
        </c:ser>
        <c:dLbls>
          <c:showLegendKey val="0"/>
          <c:showVal val="0"/>
          <c:showCatName val="0"/>
          <c:showSerName val="0"/>
          <c:showPercent val="0"/>
          <c:showBubbleSize val="0"/>
        </c:dLbls>
      </c:pie3DChart>
    </c:plotArea>
    <c:legend>
      <c:legendPos val="r"/>
      <c:layout/>
      <c:overlay val="0"/>
      <c:txPr>
        <a:bodyPr rot="0" spcFirstLastPara="0" vertOverflow="ellipsis" vert="horz" wrap="square" anchor="ctr" anchorCtr="1"/>
        <a:lstStyle/>
        <a:p>
          <a:pPr>
            <a:defRPr lang="ru-RU" sz="1000" b="0" i="0" u="none" strike="noStrike" kern="1200" baseline="0">
              <a:solidFill>
                <a:schemeClr val="tx1"/>
              </a:solidFill>
              <a:latin typeface="+mn-lt"/>
              <a:ea typeface="+mn-ea"/>
              <a:cs typeface="+mn-cs"/>
            </a:defRPr>
          </a:pPr>
        </a:p>
      </c:txPr>
    </c:legend>
    <c:plotVisOnly val="1"/>
    <c:dispBlanksAs val="zero"/>
    <c:showDLblsOverMax val="0"/>
  </c:chart>
  <c:txPr>
    <a:bodyPr/>
    <a:lstStyle/>
    <a:p>
      <a:pPr>
        <a:defRPr lang="ru-RU"/>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Лист1!$B$1</c:f>
              <c:strCache>
                <c:ptCount val="1"/>
                <c:pt idx="0">
                  <c:v>Общегосударственные вопросы</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Лист1!$B$2:$B$6</c:f>
              <c:numCache>
                <c:formatCode>General</c:formatCode>
                <c:ptCount val="5"/>
                <c:pt idx="0">
                  <c:v>1743.5</c:v>
                </c:pt>
                <c:pt idx="3">
                  <c:v>1460.4</c:v>
                </c:pt>
              </c:numCache>
            </c:numRef>
          </c:val>
        </c:ser>
        <c:ser>
          <c:idx val="1"/>
          <c:order val="1"/>
          <c:tx>
            <c:strRef>
              <c:f>Лист1!$C$1</c:f>
              <c:strCache>
                <c:ptCount val="1"/>
                <c:pt idx="0">
                  <c:v>Национальная оборона</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Лист1!$C$2:$C$6</c:f>
              <c:numCache>
                <c:formatCode>General</c:formatCode>
                <c:ptCount val="5"/>
                <c:pt idx="0">
                  <c:v>160</c:v>
                </c:pt>
                <c:pt idx="3">
                  <c:v>167</c:v>
                </c:pt>
              </c:numCache>
            </c:numRef>
          </c:val>
        </c:ser>
        <c:ser>
          <c:idx val="2"/>
          <c:order val="2"/>
          <c:tx>
            <c:strRef>
              <c:f>Лист1!$D$1</c:f>
              <c:strCache>
                <c:ptCount val="1"/>
                <c:pt idx="0">
                  <c:v>Национальная безопасность и правоохранительная деятельность</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Лист1!$D$2:$D$6</c:f>
              <c:numCache>
                <c:formatCode>General</c:formatCode>
                <c:ptCount val="5"/>
                <c:pt idx="0">
                  <c:v>3</c:v>
                </c:pt>
                <c:pt idx="3">
                  <c:v>57.9</c:v>
                </c:pt>
              </c:numCache>
            </c:numRef>
          </c:val>
        </c:ser>
        <c:ser>
          <c:idx val="3"/>
          <c:order val="3"/>
          <c:tx>
            <c:strRef>
              <c:f>Лист1!$E$1</c:f>
              <c:strCache>
                <c:ptCount val="1"/>
                <c:pt idx="0">
                  <c:v>Национальная экономика</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Лист1!$E$2:$E$6</c:f>
              <c:numCache>
                <c:formatCode>General</c:formatCode>
                <c:ptCount val="5"/>
                <c:pt idx="0">
                  <c:v>2140.3</c:v>
                </c:pt>
                <c:pt idx="3">
                  <c:v>1109</c:v>
                </c:pt>
              </c:numCache>
            </c:numRef>
          </c:val>
        </c:ser>
        <c:ser>
          <c:idx val="4"/>
          <c:order val="4"/>
          <c:tx>
            <c:strRef>
              <c:f>Лист1!$F$1</c:f>
              <c:strCache>
                <c:ptCount val="1"/>
                <c:pt idx="0">
                  <c:v>Жилищно-коммунальное хозяйство</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Лист1!$F$2:$F$6</c:f>
              <c:numCache>
                <c:formatCode>General</c:formatCode>
                <c:ptCount val="5"/>
                <c:pt idx="0">
                  <c:v>0</c:v>
                </c:pt>
                <c:pt idx="3">
                  <c:v>1523.5</c:v>
                </c:pt>
              </c:numCache>
            </c:numRef>
          </c:val>
        </c:ser>
        <c:ser>
          <c:idx val="5"/>
          <c:order val="5"/>
          <c:tx>
            <c:strRef>
              <c:f>Лист1!$G$1</c:f>
              <c:strCache>
                <c:ptCount val="1"/>
                <c:pt idx="0">
                  <c:v>Культура, кинематография</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Лист1!$G$2:$G$6</c:f>
              <c:numCache>
                <c:formatCode>General</c:formatCode>
                <c:ptCount val="5"/>
                <c:pt idx="0">
                  <c:v>2475.2</c:v>
                </c:pt>
                <c:pt idx="3">
                  <c:v>2200.6</c:v>
                </c:pt>
              </c:numCache>
            </c:numRef>
          </c:val>
        </c:ser>
        <c:ser>
          <c:idx val="6"/>
          <c:order val="6"/>
          <c:tx>
            <c:strRef>
              <c:f>Лист1!$H$1</c:f>
              <c:strCache>
                <c:ptCount val="1"/>
                <c:pt idx="0">
                  <c:v>Социальная политика</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Лист1!$H$2:$H$6</c:f>
              <c:numCache>
                <c:formatCode>General</c:formatCode>
                <c:ptCount val="5"/>
                <c:pt idx="0">
                  <c:v>18.9</c:v>
                </c:pt>
                <c:pt idx="3">
                  <c:v>23.4</c:v>
                </c:pt>
              </c:numCache>
            </c:numRef>
          </c:val>
        </c:ser>
        <c:ser>
          <c:idx val="7"/>
          <c:order val="7"/>
          <c:tx>
            <c:strRef>
              <c:f>Лист1!$I$1</c:f>
              <c:strCache>
                <c:ptCount val="1"/>
                <c:pt idx="0">
                  <c:v>Физическая культура и спорт</c:v>
                </c:pt>
              </c:strCache>
            </c:strRef>
          </c:tx>
          <c:invertIfNegative val="0"/>
          <c:dLbls>
            <c:delete val="1"/>
          </c:dLbls>
          <c:cat>
            <c:numRef>
              <c:f>Лист1!$A$2:$A$6</c:f>
              <c:numCache>
                <c:formatCode>General</c:formatCode>
                <c:ptCount val="5"/>
                <c:pt idx="0">
                  <c:v>2023</c:v>
                </c:pt>
                <c:pt idx="3">
                  <c:v>2024</c:v>
                </c:pt>
              </c:numCache>
            </c:numRef>
          </c:cat>
          <c:val>
            <c:numRef>
              <c:f>Лист1!$I$2:$I$6</c:f>
              <c:numCache>
                <c:formatCode>General</c:formatCode>
                <c:ptCount val="5"/>
                <c:pt idx="0">
                  <c:v>136</c:v>
                </c:pt>
                <c:pt idx="3">
                  <c:v>136</c:v>
                </c:pt>
              </c:numCache>
            </c:numRef>
          </c:val>
        </c:ser>
        <c:dLbls>
          <c:showLegendKey val="0"/>
          <c:showVal val="0"/>
          <c:showCatName val="0"/>
          <c:showSerName val="0"/>
          <c:showPercent val="0"/>
          <c:showBubbleSize val="0"/>
        </c:dLbls>
        <c:gapWidth val="150"/>
        <c:overlap val="100"/>
        <c:axId val="111219072"/>
        <c:axId val="111221376"/>
      </c:barChart>
      <c:catAx>
        <c:axId val="111219072"/>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ru-RU" sz="900" b="0" i="0" u="none" strike="noStrike" kern="1200" baseline="0">
                <a:solidFill>
                  <a:schemeClr val="tx1"/>
                </a:solidFill>
                <a:latin typeface="+mn-lt"/>
                <a:ea typeface="+mn-ea"/>
                <a:cs typeface="+mn-cs"/>
              </a:defRPr>
            </a:pPr>
          </a:p>
        </c:txPr>
        <c:crossAx val="111221376"/>
        <c:crosses val="autoZero"/>
        <c:auto val="1"/>
        <c:lblAlgn val="ctr"/>
        <c:lblOffset val="100"/>
        <c:noMultiLvlLbl val="0"/>
      </c:catAx>
      <c:valAx>
        <c:axId val="111221376"/>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ru-RU" sz="900" b="0" i="0" u="none" strike="noStrike" kern="1200" baseline="0">
                <a:solidFill>
                  <a:schemeClr val="tx1"/>
                </a:solidFill>
                <a:latin typeface="+mn-lt"/>
                <a:ea typeface="+mn-ea"/>
                <a:cs typeface="+mn-cs"/>
              </a:defRPr>
            </a:pPr>
          </a:p>
        </c:txPr>
        <c:crossAx val="111219072"/>
        <c:crosses val="autoZero"/>
        <c:crossBetween val="between"/>
      </c:valAx>
      <c:spPr>
        <a:solidFill>
          <a:schemeClr val="bg1"/>
        </a:solidFill>
        <a:ln>
          <a:noFill/>
        </a:ln>
        <a:effectLst/>
      </c:spPr>
    </c:plotArea>
    <c:legend>
      <c:legendPos val="r"/>
      <c:layout>
        <c:manualLayout>
          <c:xMode val="edge"/>
          <c:yMode val="edge"/>
          <c:x val="0.644366197183099"/>
          <c:y val="0.057262569832403"/>
          <c:w val="0.315907099847815"/>
          <c:h val="0.264419002419218"/>
        </c:manualLayout>
      </c:layout>
      <c:overlay val="0"/>
      <c:txPr>
        <a:bodyPr rot="0" spcFirstLastPara="0" vertOverflow="ellipsis" vert="horz" wrap="square" anchor="ctr" anchorCtr="1"/>
        <a:lstStyle/>
        <a:p>
          <a:pPr>
            <a:defRPr lang="ru-RU" sz="800" b="1"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ru-RU" sz="900"/>
      </a:pPr>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Company>SPecialiST RePack</Company>
  <Pages>10</Pages>
  <Words>1738</Words>
  <Characters>9907</Characters>
  <Lines>82</Lines>
  <Paragraphs>23</Paragraphs>
  <TotalTime>16</TotalTime>
  <ScaleCrop>false</ScaleCrop>
  <LinksUpToDate>false</LinksUpToDate>
  <CharactersWithSpaces>11622</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2019-03-28T02:03:00Z</dcterms:created>
  <dc:creator>Администрация</dc:creator>
  <cp:lastModifiedBy>Администрация</cp:lastModifiedBy>
  <cp:lastPrinted>2024-04-15T03:43:00Z</cp:lastPrinted>
  <dcterms:modified xsi:type="dcterms:W3CDTF">2025-03-28T06:56:23Z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F1306D88915444E49397462C3A43D687_12</vt:lpwstr>
  </property>
</Properties>
</file>