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709"/>
        <w:jc w:val="center"/>
      </w:pPr>
    </w:p>
    <w:p>
      <w:pPr>
        <w:ind w:firstLine="709"/>
        <w:jc w:val="center"/>
        <w:rPr>
          <w:caps/>
          <w:sz w:val="28"/>
          <w:szCs w:val="28"/>
        </w:rPr>
      </w:pPr>
      <w:r>
        <w:rPr>
          <w:caps/>
          <w:sz w:val="28"/>
          <w:szCs w:val="28"/>
          <w:rtl w:val="off"/>
        </w:rPr>
        <w:t xml:space="preserve">АДМИНИСТРАЦИЯ УСТЬ-БЕЛОВСКОГО СЕЛЬСОВЕТА                                                                      </w:t>
      </w:r>
      <w:r>
        <w:rPr>
          <w:caps/>
          <w:sz w:val="28"/>
          <w:szCs w:val="28"/>
        </w:rPr>
        <w:t>Краснощёковского района Алтайского края</w:t>
      </w:r>
    </w:p>
    <w:p>
      <w:pPr>
        <w:ind w:firstLine="709"/>
        <w:jc w:val="center"/>
        <w:rPr>
          <w:sz w:val="28"/>
          <w:szCs w:val="28"/>
        </w:rPr>
      </w:pP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>
      <w:pPr>
        <w:ind w:firstLine="709"/>
        <w:jc w:val="center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                              </w:t>
      </w:r>
    </w:p>
    <w:p>
      <w:pPr>
        <w:ind w:firstLine="709"/>
        <w:jc w:val="center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                             </w:t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    с.Усть-Белое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36"/>
        <w:gridCol w:w="4735"/>
      </w:tblGrid>
      <w:tr>
        <w:tc>
          <w:tcPr>
            <w:tcW w:w="4836" w:type="dxa"/>
          </w:tcPr>
          <w:p>
            <w:pPr>
              <w:rPr>
                <w:lang w:eastAsia="ar-SA"/>
                <w:sz w:val="28"/>
                <w:szCs w:val="28"/>
                <w:rtl w:val="off"/>
              </w:rPr>
            </w:pPr>
            <w:r>
              <w:rPr>
                <w:lang w:eastAsia="ar-SA"/>
                <w:sz w:val="28"/>
                <w:szCs w:val="28"/>
                <w:rtl w:val="off"/>
              </w:rPr>
              <w:t xml:space="preserve">11 октября 2024г № 13       </w:t>
            </w:r>
          </w:p>
          <w:p>
            <w:pPr>
              <w:rPr>
                <w:sz w:val="28"/>
                <w:szCs w:val="28"/>
              </w:rPr>
            </w:pPr>
            <w:r>
              <w:rPr>
                <w:lang w:eastAsia="ar-SA"/>
                <w:sz w:val="28"/>
                <w:szCs w:val="28"/>
                <w:rtl w:val="off"/>
              </w:rPr>
              <w:t xml:space="preserve">                                             </w:t>
            </w:r>
          </w:p>
        </w:tc>
        <w:tc>
          <w:tcPr>
            <w:tcW w:w="4735" w:type="dxa"/>
          </w:tcPr>
          <w:p>
            <w:pPr>
              <w:jc w:val="right"/>
              <w:rPr>
                <w:sz w:val="28"/>
                <w:szCs w:val="28"/>
              </w:rPr>
            </w:pPr>
          </w:p>
        </w:tc>
      </w:tr>
      <w:tr>
        <w:tc>
          <w:tcPr>
            <w:tcW w:w="4836" w:type="dxa"/>
          </w:tcPr>
          <w:p>
            <w:pPr>
              <w:rPr>
                <w:sz w:val="28"/>
                <w:szCs w:val="28"/>
              </w:rPr>
            </w:pPr>
          </w:p>
          <w:p>
            <w:pPr>
              <w:jc w:val="both"/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административный регламент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</w:t>
            </w:r>
          </w:p>
          <w:p>
            <w:pPr>
              <w:jc w:val="both"/>
              <w:rPr>
                <w:lang w:eastAsia="ar-SA"/>
                <w:sz w:val="28"/>
                <w:szCs w:val="28"/>
              </w:rPr>
            </w:pPr>
          </w:p>
        </w:tc>
        <w:tc>
          <w:tcPr>
            <w:tcW w:w="4735" w:type="dxa"/>
          </w:tcPr>
          <w:p>
            <w:pPr>
              <w:jc w:val="right"/>
              <w:rPr>
                <w:lang w:eastAsia="ar-SA"/>
                <w:sz w:val="28"/>
                <w:szCs w:val="28"/>
                <w:spacing w:val="-1"/>
              </w:rPr>
            </w:pPr>
          </w:p>
        </w:tc>
      </w:tr>
    </w:tbl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"http://docs.cntd.ru/document/902228011" </w:instrText>
      </w:r>
      <w:r>
        <w:rPr>
          <w:sz w:val="28"/>
          <w:szCs w:val="28"/>
        </w:rPr>
        <w:fldChar w:fldCharType="separate"/>
      </w:r>
      <w:r>
        <w:rPr>
          <w:color w:val="000000"/>
          <w:sz w:val="28"/>
          <w:szCs w:val="28"/>
          <w:shd w:val="clear" w:color="auto" w:fill="FFFFFF"/>
          <w:spacing w:val="2"/>
        </w:rPr>
        <w:t>Федеральным законом от 27.07.2010 № 210-ФЗ «Об организации предоставления государственных и муниципальных услуг</w:t>
      </w:r>
      <w:r>
        <w:rPr>
          <w:color w:val="000000"/>
          <w:sz w:val="28"/>
          <w:szCs w:val="28"/>
          <w:shd w:val="clear" w:color="auto" w:fill="FFFFFF"/>
          <w:spacing w:val="2"/>
        </w:rPr>
        <w:fldChar w:fldCharType="end"/>
      </w:r>
      <w:r>
        <w:rPr>
          <w:color w:val="000000"/>
          <w:sz w:val="28"/>
          <w:szCs w:val="28"/>
          <w:shd w:val="clear" w:color="auto" w:fill="FFFFFF"/>
          <w:spacing w:val="2"/>
        </w:rPr>
        <w:t>», п</w:t>
      </w:r>
      <w:r>
        <w:rPr>
          <w:sz w:val="28"/>
          <w:szCs w:val="28"/>
        </w:rPr>
        <w:t>остановлением Правительства РФ от 19.11.2014 № 1221 «Об утверждении Правил присвоения, изменения и аннулирования адресов»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Уставом муниципального образования </w:t>
      </w:r>
      <w:r>
        <w:rPr>
          <w:sz w:val="28"/>
          <w:szCs w:val="28"/>
          <w:rtl w:val="off"/>
        </w:rPr>
        <w:t xml:space="preserve">Усть-Беловский </w:t>
      </w:r>
      <w:r>
        <w:rPr>
          <w:sz w:val="28"/>
          <w:szCs w:val="28"/>
        </w:rPr>
        <w:t xml:space="preserve"> сельсовет Краснощёковского района Алтайского края,</w:t>
      </w:r>
    </w:p>
    <w:p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>
      <w:pPr>
        <w:pStyle w:val="1"/>
        <w:ind w:firstLine="709"/>
        <w:jc w:val="both"/>
        <w:rPr>
          <w:szCs w:val="28"/>
        </w:rPr>
      </w:pPr>
      <w:r>
        <w:rPr>
          <w:szCs w:val="28"/>
        </w:rPr>
        <w:t xml:space="preserve">1. Внести изменения в административный регламент по исполнению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строительства», утвержденный постановлением администрации </w:t>
      </w:r>
      <w:r>
        <w:rPr>
          <w:szCs w:val="28"/>
          <w:rtl w:val="off"/>
        </w:rPr>
        <w:t xml:space="preserve">Усть-Беловского </w:t>
      </w:r>
      <w:r>
        <w:rPr>
          <w:szCs w:val="28"/>
        </w:rPr>
        <w:t xml:space="preserve"> сельсовета от 05.10.2022 № </w:t>
      </w:r>
      <w:r>
        <w:rPr>
          <w:szCs w:val="28"/>
          <w:rtl w:val="off"/>
        </w:rPr>
        <w:t>9</w:t>
      </w:r>
      <w:r>
        <w:rPr>
          <w:szCs w:val="28"/>
        </w:rPr>
        <w:t xml:space="preserve"> следующего содержания:</w:t>
      </w:r>
    </w:p>
    <w:p>
      <w:pPr>
        <w:pStyle w:val="1"/>
        <w:ind w:firstLine="709"/>
        <w:jc w:val="both"/>
        <w:rPr>
          <w:szCs w:val="28"/>
        </w:rPr>
      </w:pPr>
      <w:r>
        <w:rPr>
          <w:szCs w:val="28"/>
        </w:rPr>
        <w:t xml:space="preserve">1.1. Абзац 6 пункта 1.2 раздела </w:t>
      </w:r>
      <w:r>
        <w:rPr>
          <w:lang w:val="en-US"/>
          <w:szCs w:val="28"/>
        </w:rPr>
        <w:t>I</w:t>
      </w:r>
      <w:r>
        <w:rPr>
          <w:bCs/>
          <w:iCs/>
          <w:szCs w:val="28"/>
        </w:rPr>
        <w:t>, изложить в новой редакции: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«С заявлением вправе обратиться кадастровый инженер, выполняющий на основании документа, предусмотренного статьей 35 или статьей 42.3 Федерального закона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>
      <w:pPr>
        <w:pStyle w:val="1"/>
        <w:ind w:firstLine="709"/>
        <w:jc w:val="both"/>
        <w:rPr>
          <w:szCs w:val="28"/>
        </w:rPr>
      </w:pPr>
      <w:r>
        <w:rPr>
          <w:szCs w:val="28"/>
        </w:rPr>
        <w:t xml:space="preserve">1.2. Пункт 2.5. «Срок предоставления муниципальной услуги» раздела </w:t>
      </w:r>
      <w:r>
        <w:rPr>
          <w:lang w:val="en-US"/>
          <w:szCs w:val="28"/>
        </w:rPr>
        <w:t>II</w:t>
      </w:r>
      <w:r>
        <w:rPr>
          <w:szCs w:val="28"/>
        </w:rPr>
        <w:t xml:space="preserve"> изложить в новой редакции: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 государственном адресном реестре осуществляются органом местного самоуправления: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а) в случае подачи заявления на бумажном носителе - в срок не более 10 рабочих дней со дня поступления заявления; 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В случае представления заявления через многофункциональный центр срок, указанный в настоящем пункте Административного регламента, исчисляется со дня передачи многофункциональным центром заявления и документов, указанных в пункте 2.7.1 настоящего Административного регламента (при их наличии), в орган местного самоуправления». </w:t>
      </w:r>
    </w:p>
    <w:p>
      <w:pPr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1.3.  Абзац 1 пункта 3.2.3.3. раздела </w:t>
      </w:r>
      <w:r>
        <w:rPr>
          <w:lang w:val="en-US"/>
          <w:sz w:val="28"/>
          <w:szCs w:val="28"/>
        </w:rPr>
        <w:t>III</w:t>
      </w:r>
      <w:r>
        <w:rPr>
          <w:bCs/>
          <w:iCs/>
          <w:sz w:val="28"/>
          <w:szCs w:val="28"/>
        </w:rPr>
        <w:t>, изложить в новой редакции:</w:t>
      </w:r>
    </w:p>
    <w:p>
      <w:pPr>
        <w:ind w:firstLine="709"/>
        <w:suppressAutoHyphens/>
        <w:jc w:val="both"/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«При обращении заявителя через Многофункциональный центр, специалист Многофункционального центра принимает документы от заявителя и передает в администрацию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не позднее дня, следующего за днем поступления заявления». </w:t>
      </w:r>
    </w:p>
    <w:p>
      <w:pPr>
        <w:pStyle w:val="1"/>
        <w:ind w:firstLine="709"/>
        <w:jc w:val="both"/>
        <w:rPr>
          <w:szCs w:val="28"/>
        </w:rPr>
      </w:pPr>
      <w:r>
        <w:rPr>
          <w:szCs w:val="28"/>
        </w:rPr>
        <w:t>1.4. Пункт 3.4.3.1. изложить в новой редакции: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«Решение</w:t>
      </w:r>
      <w:r>
        <w:rPr>
          <w:lang w:eastAsia="en-US"/>
          <w:rFonts w:eastAsia="Calibri"/>
          <w:sz w:val="28"/>
          <w:szCs w:val="28"/>
        </w:rPr>
        <w:t xml:space="preserve"> органа местного самоуправления </w:t>
      </w:r>
      <w:r>
        <w:rPr>
          <w:sz w:val="28"/>
          <w:szCs w:val="28"/>
        </w:rPr>
        <w:t xml:space="preserve">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реестре, а также решение об отказе в таком присвоении или аннулировании адреса направляются администрацией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заявителю (представителю заявителя) одним из способов, указанным в заявлении:</w:t>
      </w:r>
    </w:p>
    <w:p>
      <w:pPr>
        <w:ind w:firstLine="709"/>
        <w:jc w:val="both"/>
        <w:rPr>
          <w:lang w:eastAsia="en-US"/>
          <w:rFonts w:eastAsia="Calibri"/>
          <w:sz w:val="28"/>
          <w:szCs w:val="28"/>
        </w:rPr>
      </w:pPr>
      <w:r>
        <w:rPr>
          <w:sz w:val="28"/>
          <w:szCs w:val="28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</w:t>
      </w:r>
      <w:r>
        <w:rPr>
          <w:lang w:eastAsia="en-US"/>
          <w:rFonts w:eastAsia="Calibri"/>
          <w:sz w:val="28"/>
          <w:szCs w:val="28"/>
        </w:rPr>
        <w:t>указанного в пункте 2.5 настоящего Административного регламента;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истечения установленного пунктом </w:t>
      </w:r>
      <w:r>
        <w:rPr>
          <w:lang w:eastAsia="en-US"/>
          <w:rFonts w:eastAsia="Calibri"/>
          <w:sz w:val="28"/>
          <w:szCs w:val="28"/>
        </w:rPr>
        <w:t>2.5 настоящего Административного регламента</w:t>
      </w:r>
      <w:r>
        <w:rPr>
          <w:sz w:val="28"/>
          <w:szCs w:val="28"/>
        </w:rPr>
        <w:t xml:space="preserve"> срока посредством почтового отправления по указанному в заявлении почтовому адресу. 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центр по месту представления заявления орган местного самоуправления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дня, следующего за днем истечения срока, установленного пунктом </w:t>
      </w:r>
      <w:r>
        <w:rPr>
          <w:lang w:eastAsia="en-US"/>
          <w:rFonts w:eastAsia="Calibri"/>
          <w:sz w:val="28"/>
          <w:szCs w:val="28"/>
        </w:rPr>
        <w:t>2.5 настоящего Административного регламента</w:t>
      </w:r>
      <w:r>
        <w:rPr>
          <w:sz w:val="28"/>
          <w:szCs w:val="28"/>
        </w:rPr>
        <w:t xml:space="preserve">» </w:t>
      </w:r>
    </w:p>
    <w:p>
      <w:pPr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1.5.  Абзац 3,4,5  пункта  3.4.2. раздела </w:t>
      </w:r>
      <w:r>
        <w:rPr>
          <w:lang w:val="en-US"/>
          <w:sz w:val="28"/>
          <w:szCs w:val="28"/>
        </w:rPr>
        <w:t>III</w:t>
      </w:r>
      <w:r>
        <w:rPr>
          <w:bCs/>
          <w:iCs/>
          <w:sz w:val="28"/>
          <w:szCs w:val="28"/>
        </w:rPr>
        <w:t>, изложить в новой редакции: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Решение о присвоении объекту адресации адреса или аннулировании его адреса подлежит обязательному размещению администрацией сельсовета в государственном адресном реестре в течение 3 рабочих дней со дня принятия такого решения.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адреса.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Краснощёковского района Алтайского края порядке.   </w:t>
      </w:r>
    </w:p>
    <w:p>
      <w:pPr>
        <w:pStyle w:val="1"/>
        <w:ind w:firstLine="709"/>
        <w:jc w:val="both"/>
        <w:rPr>
          <w:szCs w:val="28"/>
        </w:rPr>
      </w:pPr>
      <w:r>
        <w:rPr>
          <w:szCs w:val="28"/>
        </w:rPr>
        <w:t>3.  Контроль за исполнением настоящего постановления оставляю за собой.</w:t>
      </w:r>
    </w:p>
    <w:p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off"/>
        </w:rPr>
        <w:t>И.О.</w:t>
      </w: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>
      <w:pPr>
        <w:pStyle w:val="a5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/>
          <w:sz w:val="28"/>
          <w:szCs w:val="28"/>
        </w:rPr>
        <w:t xml:space="preserve"> сельсовета                                                </w:t>
      </w:r>
      <w:r>
        <w:rPr>
          <w:rFonts w:ascii="Times New Roman" w:hAnsi="Times New Roman"/>
          <w:sz w:val="28"/>
          <w:szCs w:val="28"/>
          <w:rtl w:val="off"/>
        </w:rPr>
        <w:t>И.Ф.Медведева</w:t>
      </w:r>
    </w:p>
    <w:sectPr>
      <w:pgSz w:w="11906" w:h="16838"/>
      <w:pgMar w:top="1134" w:right="850" w:bottom="1134" w:left="1701" w:header="708" w:footer="708" w:gutter="0"/>
      <w:cols w:space="708"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Arial Unicode MS">
    <w:panose1 w:val="020B0604020202020204"/>
    <w:family w:val="roman"/>
    <w:charset w:val="00"/>
    <w:notTrueType w:val="true"/>
    <w:sig w:usb0="FFFFFFFF" w:usb1="E9FFFFFF" w:usb2="0000003F" w:usb3="00000001" w:csb0="603F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  <w:p>
    <w:pPr>
      <w:pStyle w:val="af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f9">
    <w:name w:val="Верхний колонтитул Знак"/>
    <w:basedOn w:val="a2"/>
    <w:link w:val="header"/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2"/>
    <w:link w:val="heading 1"/>
    <w:rPr>
      <w:lang w:eastAsia="ru-RU"/>
      <w:rFonts w:ascii="Times New Roman" w:eastAsia="Arial Unicode MS" w:hAnsi="Times New Roman" w:cs="Times New Roman"/>
      <w:sz w:val="28"/>
      <w:szCs w:val="24"/>
    </w:rPr>
  </w:style>
  <w:style w:type="paragraph" w:styleId="af8">
    <w:name w:val="header"/>
    <w:basedOn w:val="a1"/>
    <w:link w:val="Верхний колонтитул Знак"/>
    <w:pPr>
      <w:tabs>
        <w:tab w:val="center" w:pos="4677"/>
        <w:tab w:val="right" w:pos="9355"/>
      </w:tabs>
    </w:pPr>
  </w:style>
  <w:style w:type="paragraph" w:styleId="a5">
    <w:name w:val="No Spacing"/>
    <w:qFormat/>
    <w:pPr>
      <w:spacing w:after="0" w:line="240" w:lineRule="auto"/>
    </w:pPr>
    <w:rPr>
      <w:lang w:eastAsia="ru-RU"/>
      <w:rFonts w:ascii="Calibri" w:eastAsia="Times New Roman" w:hAnsi="Calibri" w:cs="Times New Roman"/>
    </w:rPr>
  </w:style>
  <w:style w:type="paragraph" w:styleId="1">
    <w:name w:val="heading 1"/>
    <w:basedOn w:val="a1"/>
    <w:next w:val="a1"/>
    <w:link w:val="Заголовок 1 Знак"/>
    <w:qFormat/>
    <w:pPr>
      <w:adjustRightInd/>
      <w:autoSpaceDE w:val="off"/>
      <w:autoSpaceDN w:val="off"/>
      <w:keepNext/>
      <w:outlineLvl w:val="0"/>
      <w:jc w:val="center"/>
    </w:pPr>
    <w:rPr>
      <w:rFonts w:eastAsia="Arial Unicode MS"/>
      <w:sz w:val="28"/>
    </w:rPr>
  </w:style>
  <w:style w:type="paragraph" w:styleId="affe">
    <w:name w:val="Normal (Web)"/>
    <w:basedOn w:val="a1"/>
    <w:pPr>
      <w:spacing w:after="100" w:afterAutospacing="1" w:before="100" w:before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Pirated Aliance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mvideo</cp:lastModifiedBy>
  <cp:revision>1</cp:revision>
  <dcterms:created xsi:type="dcterms:W3CDTF">2024-08-07T15:10:00Z</dcterms:created>
  <dcterms:modified xsi:type="dcterms:W3CDTF">2024-10-11T06:07:37Z</dcterms:modified>
  <cp:lastPrinted>2024-10-11T06:06:16Z</cp:lastPrinted>
  <cp:version>0900.0000.01</cp:version>
</cp:coreProperties>
</file>