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37F" w:rsidRDefault="00F35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ОБЗОР ОСОБЕННОСТЕЙ ОБНОВЛЕННОГО ЗАКОНОДАТЕЛЬСТВА </w:t>
      </w:r>
    </w:p>
    <w:p w:rsidR="002A137F" w:rsidRDefault="00F35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КВОТИРОВАНИИ РАБОЧИХ МЕСТ ДЛЯ ПРИЕМА НА РАБОТУ ИНВАЛИДОВ С 01.09.2024</w:t>
      </w:r>
    </w:p>
    <w:p w:rsidR="002A137F" w:rsidRDefault="00F35254">
      <w:pPr>
        <w:jc w:val="center"/>
      </w:pPr>
      <w:r>
        <w:t xml:space="preserve">(ст. 38 Федерального закона от 12.12.2023 № 565-ФЗ, </w:t>
      </w:r>
    </w:p>
    <w:p w:rsidR="002A137F" w:rsidRDefault="00F35254">
      <w:pPr>
        <w:jc w:val="center"/>
      </w:pPr>
      <w:r>
        <w:t xml:space="preserve">постановление Правительства РФ от 30.05.2024 № 709, </w:t>
      </w:r>
    </w:p>
    <w:p w:rsidR="002A137F" w:rsidRDefault="00F35254">
      <w:pPr>
        <w:jc w:val="center"/>
      </w:pPr>
      <w:r>
        <w:t>Закон АК от 03.04.2024 № 22-ЗС)</w:t>
      </w:r>
    </w:p>
    <w:p w:rsidR="002A137F" w:rsidRDefault="002A137F">
      <w:pPr>
        <w:ind w:firstLine="709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4820"/>
        <w:gridCol w:w="7371"/>
      </w:tblGrid>
      <w:tr w:rsidR="002A137F">
        <w:tc>
          <w:tcPr>
            <w:tcW w:w="2376" w:type="dxa"/>
            <w:vMerge w:val="restart"/>
          </w:tcPr>
          <w:p w:rsidR="002A137F" w:rsidRDefault="002A137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E5B8B7"/>
          </w:tcPr>
          <w:p w:rsidR="002A137F" w:rsidRDefault="00F35254">
            <w:pPr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БЫЛО до 01.09.2024</w:t>
            </w:r>
          </w:p>
        </w:tc>
        <w:tc>
          <w:tcPr>
            <w:tcW w:w="7371" w:type="dxa"/>
            <w:shd w:val="clear" w:color="auto" w:fill="E5B8B7"/>
          </w:tcPr>
          <w:p w:rsidR="002A137F" w:rsidRDefault="00F35254">
            <w:pPr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СТАНЕТ с 01.09.2024</w:t>
            </w:r>
          </w:p>
        </w:tc>
      </w:tr>
      <w:tr w:rsidR="002A137F">
        <w:tc>
          <w:tcPr>
            <w:tcW w:w="2376" w:type="dxa"/>
            <w:vMerge/>
          </w:tcPr>
          <w:p w:rsidR="002A137F" w:rsidRDefault="002A137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2A137F" w:rsidRDefault="00F35254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 соответствии со ст. 13.2 Закона РФ </w:t>
            </w:r>
          </w:p>
          <w:p w:rsidR="002A137F" w:rsidRDefault="00F35254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 19.04.1991 № 1032,</w:t>
            </w:r>
          </w:p>
          <w:p w:rsidR="002A137F" w:rsidRDefault="00F35254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постановлением Правительства РФ от14.03.2022 № 366, </w:t>
            </w:r>
          </w:p>
          <w:p w:rsidR="002A137F" w:rsidRDefault="00F35254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Законом АК от 06.06.2006 № 59-ЗС</w:t>
            </w:r>
          </w:p>
        </w:tc>
        <w:tc>
          <w:tcPr>
            <w:tcW w:w="7371" w:type="dxa"/>
          </w:tcPr>
          <w:p w:rsidR="002A137F" w:rsidRDefault="00F35254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 соответствии со ст. 38 Федерального закона от 12.12.2023 </w:t>
            </w:r>
          </w:p>
          <w:p w:rsidR="002A137F" w:rsidRDefault="00F35254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№ 565-ФЗ,</w:t>
            </w:r>
          </w:p>
          <w:p w:rsidR="002A137F" w:rsidRDefault="00F35254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постановлением Правительства РФ от 30.05.2024 № 709, </w:t>
            </w:r>
          </w:p>
          <w:p w:rsidR="002A137F" w:rsidRDefault="00F35254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Законом АК от 06.06.2006 № 59-ЗС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Дифференциация размера квоты для разных работодателей 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Дифференциация работодателей производится </w:t>
            </w:r>
            <w:r>
              <w:rPr>
                <w:sz w:val="24"/>
                <w:szCs w:val="24"/>
              </w:rPr>
              <w:t>только по принципу размера среднесписочной  численности работников: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от 35 до 100 чел. включительно – не более 3%.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 численность свыше 100 работников – от 2 до 4 %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Новый Закон о занятости наделяет субъекты Российской Федерации правомд</w:t>
            </w:r>
            <w:r>
              <w:rPr>
                <w:sz w:val="24"/>
                <w:szCs w:val="24"/>
              </w:rPr>
              <w:t xml:space="preserve">ифференцировать размер квоты для приема на работу инвалидов </w:t>
            </w:r>
            <w:r>
              <w:rPr>
                <w:b/>
                <w:sz w:val="24"/>
                <w:szCs w:val="24"/>
              </w:rPr>
              <w:t>для различных видов экономической деятельности, различных муниципальных образований субъекта Российской Федерации, работодателей с различной среднесписочной численностью работников</w:t>
            </w:r>
            <w:r>
              <w:rPr>
                <w:sz w:val="24"/>
                <w:szCs w:val="24"/>
              </w:rPr>
              <w:t xml:space="preserve"> в соответствии </w:t>
            </w:r>
            <w:r>
              <w:rPr>
                <w:sz w:val="24"/>
                <w:szCs w:val="24"/>
              </w:rPr>
              <w:t>с методическими рекомендациями, утверждаемыми Минтрудом России</w:t>
            </w:r>
            <w:r>
              <w:rPr>
                <w:i/>
                <w:sz w:val="24"/>
                <w:szCs w:val="24"/>
              </w:rPr>
              <w:t>(пока такие метод. рекомендации еще не утверждены, поэтому в Законе АК по квотированию дифференциация размера квоты присутствует только в зависимости от среднесписочной численности работников ра</w:t>
            </w:r>
            <w:r>
              <w:rPr>
                <w:i/>
                <w:sz w:val="24"/>
                <w:szCs w:val="24"/>
              </w:rPr>
              <w:t>ботодателя).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квоты 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работодателей от 35 чел. до 100 чел. включительно разбег размера квоты, который могли устанавливать регионы, был</w:t>
            </w:r>
            <w:r>
              <w:rPr>
                <w:b/>
                <w:sz w:val="24"/>
                <w:szCs w:val="24"/>
              </w:rPr>
              <w:t xml:space="preserve"> не более 3%.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С 01.09.2024 новым законом о занятости определен промежуток размера квоты, который могут устанавли</w:t>
            </w:r>
            <w:r>
              <w:rPr>
                <w:sz w:val="24"/>
                <w:szCs w:val="24"/>
              </w:rPr>
              <w:t xml:space="preserve">вать регионы для всех работодателей, в т.ч. с численностью свыше 35 чел.  – </w:t>
            </w:r>
            <w:r>
              <w:rPr>
                <w:b/>
                <w:sz w:val="24"/>
                <w:szCs w:val="24"/>
              </w:rPr>
              <w:t>от 2 до 4 %</w:t>
            </w:r>
            <w:r>
              <w:rPr>
                <w:i/>
                <w:sz w:val="24"/>
                <w:szCs w:val="24"/>
              </w:rPr>
              <w:t>(в Законе АК по квоте с 1 сентября 2024 остался прежний размер – 3 %).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 устанавливается квота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Устанавливается работодателям с численностью </w:t>
            </w:r>
            <w:r>
              <w:rPr>
                <w:b/>
                <w:sz w:val="24"/>
                <w:szCs w:val="24"/>
                <w:u w:val="single"/>
              </w:rPr>
              <w:t>от</w:t>
            </w:r>
            <w:r>
              <w:rPr>
                <w:sz w:val="24"/>
                <w:szCs w:val="24"/>
              </w:rPr>
              <w:t xml:space="preserve"> 35 человек (т.е. от 35</w:t>
            </w:r>
            <w:r>
              <w:rPr>
                <w:sz w:val="24"/>
                <w:szCs w:val="24"/>
              </w:rPr>
              <w:t xml:space="preserve"> чел. и выше).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Устанавливается работодателям с численностью, </w:t>
            </w:r>
            <w:r>
              <w:rPr>
                <w:b/>
                <w:sz w:val="24"/>
                <w:szCs w:val="24"/>
                <w:u w:val="single"/>
              </w:rPr>
              <w:t>превышающей</w:t>
            </w:r>
            <w:r>
              <w:rPr>
                <w:sz w:val="24"/>
                <w:szCs w:val="24"/>
              </w:rPr>
              <w:t xml:space="preserve"> 35 человек (т.е. от 36 чел. и выше).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Срок, в течение которого работодатель обязан </w:t>
            </w:r>
            <w:r>
              <w:rPr>
                <w:sz w:val="24"/>
                <w:szCs w:val="24"/>
              </w:rPr>
              <w:lastRenderedPageBreak/>
              <w:t>выполнить квоту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текущего года.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не ограничен.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Как рассчитывается квота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Квота для приема на работу инвалидов рассчитывается работодателем </w:t>
            </w:r>
            <w:r>
              <w:rPr>
                <w:b/>
                <w:sz w:val="24"/>
                <w:szCs w:val="24"/>
              </w:rPr>
              <w:t>ежегодно, до 1 февраля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>исходя из среднесписочной численности работников за IV квартал предыдущего года.</w:t>
            </w:r>
          </w:p>
          <w:p w:rsidR="002A137F" w:rsidRDefault="002A137F">
            <w:pPr>
              <w:ind w:firstLine="459"/>
              <w:jc w:val="both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Численность работников для целей исчисления квоты для приема на работу инвалидов определяется </w:t>
            </w:r>
            <w:r>
              <w:rPr>
                <w:b/>
                <w:sz w:val="24"/>
                <w:szCs w:val="24"/>
              </w:rPr>
              <w:t>исходя из среднесписочной численности работников за предыдущий квартал</w:t>
            </w:r>
            <w:r>
              <w:rPr>
                <w:sz w:val="24"/>
                <w:szCs w:val="24"/>
              </w:rPr>
              <w:t xml:space="preserve"> без учета работников представительств и филиалов работодателя, расположенных в других субъе</w:t>
            </w:r>
            <w:r>
              <w:rPr>
                <w:sz w:val="24"/>
                <w:szCs w:val="24"/>
              </w:rPr>
              <w:t>ктах Российской Федерации.</w:t>
            </w:r>
          </w:p>
          <w:p w:rsidR="002A137F" w:rsidRDefault="00F35254">
            <w:pPr>
              <w:ind w:firstLine="45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Таким образом, работодатель рассчитывает размер квоты каждый квартал заново.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Перерасчет квоты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Перерасчет предусмотрен при необходимости, обозначены условия такого перерасчета:</w:t>
            </w:r>
          </w:p>
          <w:p w:rsidR="002A137F" w:rsidRDefault="00F35254">
            <w:pPr>
              <w:ind w:firstLine="459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Квота для приема на работу инвалидов </w:t>
            </w:r>
            <w:r>
              <w:rPr>
                <w:b/>
                <w:sz w:val="24"/>
                <w:szCs w:val="24"/>
              </w:rPr>
              <w:t>подлежит перера</w:t>
            </w:r>
            <w:r>
              <w:rPr>
                <w:b/>
                <w:sz w:val="24"/>
                <w:szCs w:val="24"/>
              </w:rPr>
              <w:t xml:space="preserve">счету </w:t>
            </w:r>
            <w:r>
              <w:rPr>
                <w:b/>
                <w:sz w:val="24"/>
                <w:szCs w:val="24"/>
                <w:u w:val="single"/>
              </w:rPr>
              <w:t>в случае уменьшения среднесписочной</w:t>
            </w:r>
            <w:r>
              <w:rPr>
                <w:b/>
                <w:sz w:val="24"/>
                <w:szCs w:val="24"/>
              </w:rPr>
              <w:t xml:space="preserve"> численности работников за прошедший месяц.</w:t>
            </w:r>
          </w:p>
          <w:p w:rsidR="002A137F" w:rsidRDefault="00F35254">
            <w:pPr>
              <w:ind w:firstLine="45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То есть в случае увеличения среднесписочной численности работников в предыдущем месяце размер квоты не полежал перерасчету.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Внеочередной перерасчет квоты в случае изменени</w:t>
            </w:r>
            <w:r>
              <w:rPr>
                <w:sz w:val="24"/>
                <w:szCs w:val="24"/>
              </w:rPr>
              <w:t xml:space="preserve">й среднесписочной численности не предусмотрен. Новый расчет размера квоты производится систематически </w:t>
            </w:r>
            <w:r>
              <w:rPr>
                <w:b/>
                <w:sz w:val="24"/>
                <w:szCs w:val="24"/>
              </w:rPr>
              <w:t>каждый квартал</w:t>
            </w:r>
            <w:r>
              <w:rPr>
                <w:sz w:val="24"/>
                <w:szCs w:val="24"/>
              </w:rPr>
              <w:t xml:space="preserve"> (независимо от того, произошел рост или уменьшение среднесписочной численности).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Что считается выполнением квоты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Строго ограниченный переч</w:t>
            </w:r>
            <w:r>
              <w:rPr>
                <w:sz w:val="24"/>
                <w:szCs w:val="24"/>
              </w:rPr>
              <w:t>ень случаев: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Квота для приема на работу инвалидов при оформлении трудовых отношений с инвалидом на любое рабочее место считается выполненной работодателем в случаях: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наличия трудового договора (в том числе срочного) с инвалидом на рабочее место непосред</w:t>
            </w:r>
            <w:r>
              <w:rPr>
                <w:sz w:val="24"/>
                <w:szCs w:val="24"/>
              </w:rPr>
              <w:t>ственно у работодателя;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наличия трудового договора между инвалидом и организацией, индивидуальным предпринимателем, </w:t>
            </w:r>
            <w:r>
              <w:rPr>
                <w:sz w:val="24"/>
                <w:szCs w:val="24"/>
              </w:rPr>
              <w:lastRenderedPageBreak/>
              <w:t>включая общественные объединения инвалидов и образованные ими организации, в том числе хозяйственные товарищества и общества, уставный (с</w:t>
            </w:r>
            <w:r>
              <w:rPr>
                <w:sz w:val="24"/>
                <w:szCs w:val="24"/>
              </w:rPr>
              <w:t>кладочный) капитал которых состоит из вклада общественного объединения инвалидов, заключившие с иной организацией или индивидуальным предпринимателем соглашения о трудоустройстве инвалидов (далее - соглашение).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Перечень случаев выполнения квоты устанавлива</w:t>
            </w:r>
            <w:r>
              <w:rPr>
                <w:sz w:val="24"/>
                <w:szCs w:val="24"/>
              </w:rPr>
              <w:t>ется Правительством РФ (с 01.09.2024 – постановлением Правительства РФ от 30.05.2024 № 709) и может расширяться.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работодателем установленной квоты обеспечивается в случаях наличия: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bookmarkStart w:id="0" w:name="sub_1031"/>
            <w:r>
              <w:rPr>
                <w:sz w:val="24"/>
                <w:szCs w:val="24"/>
              </w:rPr>
              <w:t>а) заключенного трудового договора с инвалидом на рабочее место непосредственно у работодателя. При трудоустройстве одного инвалида I группы исполнение квоты считается кратным 2 рабочим местам для трудоустройства инвалидов;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bookmarkStart w:id="1" w:name="sub_1032"/>
            <w:bookmarkEnd w:id="0"/>
            <w:r>
              <w:rPr>
                <w:sz w:val="24"/>
                <w:szCs w:val="24"/>
              </w:rPr>
              <w:t>б) заключенного трудового догово</w:t>
            </w:r>
            <w:r>
              <w:rPr>
                <w:sz w:val="24"/>
                <w:szCs w:val="24"/>
              </w:rPr>
              <w:t xml:space="preserve">ра между инвалидом и иной организацией, включая общественные объединения инвалидов и образованные ими организации, в том числе хозяйственные товарищества и общества, уставный (складочный) капитал которых </w:t>
            </w:r>
            <w:r>
              <w:rPr>
                <w:sz w:val="24"/>
                <w:szCs w:val="24"/>
              </w:rPr>
              <w:lastRenderedPageBreak/>
              <w:t>состоит из вклада общественного объединения инвалидо</w:t>
            </w:r>
            <w:r>
              <w:rPr>
                <w:sz w:val="24"/>
                <w:szCs w:val="24"/>
              </w:rPr>
              <w:t>в (далее - иная организация), заключившей соглашение о трудоустройстве инвалида с работодателем, которому установлена квота (далее - соглашение);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bookmarkStart w:id="2" w:name="sub_1033"/>
            <w:bookmarkEnd w:id="1"/>
            <w:r>
              <w:rPr>
                <w:sz w:val="24"/>
                <w:szCs w:val="24"/>
              </w:rPr>
              <w:t>в) заключенного трудового договора между инвалидом и индивидуальным предпринимателем, заключившим соглашение;</w:t>
            </w:r>
          </w:p>
          <w:p w:rsidR="002A137F" w:rsidRDefault="00F35254">
            <w:pPr>
              <w:ind w:firstLine="459"/>
              <w:jc w:val="both"/>
              <w:rPr>
                <w:b/>
                <w:sz w:val="24"/>
                <w:szCs w:val="24"/>
              </w:rPr>
            </w:pPr>
            <w:bookmarkStart w:id="3" w:name="sub_1034"/>
            <w:bookmarkEnd w:id="2"/>
            <w:r>
              <w:rPr>
                <w:b/>
                <w:sz w:val="24"/>
                <w:szCs w:val="24"/>
              </w:rPr>
              <w:t>г) договора возмездного оказания услуг или иного договора с организацией, обеспечивающей для группы организаций выполнение квоты посредством заключения соглашения с иной организацией или индивидуальным предпринимателем, заключенного трудового договора межд</w:t>
            </w:r>
            <w:r>
              <w:rPr>
                <w:b/>
                <w:sz w:val="24"/>
                <w:szCs w:val="24"/>
              </w:rPr>
              <w:t>у инвалидом и иной организацией, индивидуальным предпринимателем</w:t>
            </w:r>
            <w:r>
              <w:rPr>
                <w:i/>
                <w:sz w:val="24"/>
                <w:szCs w:val="24"/>
              </w:rPr>
              <w:t>(такой формы договора и цепочки взаимоотношений 3-х субъектов ранее не было предусмотрено)</w:t>
            </w:r>
            <w:r>
              <w:rPr>
                <w:sz w:val="24"/>
                <w:szCs w:val="24"/>
              </w:rPr>
              <w:t>.</w:t>
            </w:r>
            <w:bookmarkEnd w:id="3"/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Кратность выполнения квоты 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трудоустройстве 1 инвалида (независимо от группы инвалидности) испо</w:t>
            </w:r>
            <w:r>
              <w:rPr>
                <w:sz w:val="24"/>
                <w:szCs w:val="24"/>
              </w:rPr>
              <w:t>лнение квоты считается кратным 1 рабочему месту.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трудоустройстве </w:t>
            </w:r>
            <w:r>
              <w:rPr>
                <w:b/>
                <w:sz w:val="24"/>
                <w:szCs w:val="24"/>
              </w:rPr>
              <w:t>1инвалида I группы исполнение квоты считается кратным 2 рабочим местам</w:t>
            </w:r>
            <w:r>
              <w:rPr>
                <w:sz w:val="24"/>
                <w:szCs w:val="24"/>
              </w:rPr>
              <w:t xml:space="preserve"> для трудоустройства инвалидов.</w:t>
            </w:r>
          </w:p>
          <w:p w:rsidR="002A137F" w:rsidRDefault="00F35254">
            <w:pPr>
              <w:ind w:firstLine="45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Данное правило действует только в случае заключения трудового договора с инвалидом на</w:t>
            </w:r>
            <w:r>
              <w:rPr>
                <w:i/>
                <w:sz w:val="24"/>
                <w:szCs w:val="24"/>
              </w:rPr>
              <w:t xml:space="preserve"> рабочее место </w:t>
            </w:r>
            <w:r>
              <w:rPr>
                <w:b/>
                <w:i/>
                <w:sz w:val="24"/>
                <w:szCs w:val="24"/>
              </w:rPr>
              <w:t>непосредственно у работодателя, которому установлена квота.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месту трудоустройства инвалида на «арендуемом» рабочем месте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было никаких требований к местонахождению такого рабочего места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Появились требования к местонахождению </w:t>
            </w:r>
            <w:r>
              <w:rPr>
                <w:sz w:val="24"/>
                <w:szCs w:val="24"/>
              </w:rPr>
              <w:t>такого рабочего места: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Трудоустройство инвалидов в соответствии с соглашением о трудоустройстве инвалидов … должно осуществляться </w:t>
            </w:r>
            <w:r>
              <w:rPr>
                <w:b/>
                <w:sz w:val="24"/>
                <w:szCs w:val="24"/>
              </w:rPr>
              <w:t>на территории субъекта Российской Федерации по месту нахождения работодателя-заказчика (его представительства, филиала)</w:t>
            </w:r>
            <w:r>
              <w:rPr>
                <w:b/>
                <w:sz w:val="24"/>
                <w:szCs w:val="24"/>
              </w:rPr>
              <w:t>, которому установлена квота.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порядка заключения соглашения о трудоустройстве инвалидов и его формы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Единый порядок и форма соглашения отсутствуют. 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Единый Порядок заключения соглашения о трудоустройстве инвалидов и его форма </w:t>
            </w:r>
            <w:r>
              <w:rPr>
                <w:sz w:val="24"/>
                <w:szCs w:val="24"/>
              </w:rPr>
              <w:t>утверждены постановлением Правительства РФ от 30.05.2024 № 709.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Условия </w:t>
            </w:r>
            <w:r>
              <w:rPr>
                <w:sz w:val="24"/>
                <w:szCs w:val="24"/>
              </w:rPr>
              <w:lastRenderedPageBreak/>
              <w:t>финансирования работодателем расходов на оплату труда инвалидов, принятых на работу в иную организацию в счет квоты для приема на работу инвалидов (по соглашению «аренды»)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Нет четких </w:t>
            </w:r>
            <w:r>
              <w:rPr>
                <w:sz w:val="24"/>
                <w:szCs w:val="24"/>
              </w:rPr>
              <w:t>требований.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такого финансирования не может быть ниже величины </w:t>
            </w:r>
            <w:r>
              <w:rPr>
                <w:sz w:val="24"/>
                <w:szCs w:val="24"/>
              </w:rPr>
              <w:lastRenderedPageBreak/>
              <w:t xml:space="preserve">МРОТ, установленного ФЗ «О минимальном размере оплаты труда, увеличенного на сумму страховых взносов в государственные внебюджетные фонды, </w:t>
            </w:r>
            <w:r>
              <w:rPr>
                <w:b/>
                <w:sz w:val="24"/>
                <w:szCs w:val="24"/>
              </w:rPr>
              <w:t>если инвалид отработал месячную норму рабочего в</w:t>
            </w:r>
            <w:r>
              <w:rPr>
                <w:b/>
                <w:sz w:val="24"/>
                <w:szCs w:val="24"/>
              </w:rPr>
              <w:t>ремени и выполнил месячную норму труда</w:t>
            </w:r>
            <w:r>
              <w:rPr>
                <w:sz w:val="24"/>
                <w:szCs w:val="24"/>
              </w:rPr>
              <w:t>.</w:t>
            </w:r>
          </w:p>
          <w:p w:rsidR="002A137F" w:rsidRDefault="002A137F">
            <w:pPr>
              <w:ind w:firstLine="459"/>
              <w:jc w:val="both"/>
              <w:rPr>
                <w:sz w:val="24"/>
                <w:szCs w:val="24"/>
              </w:rPr>
            </w:pP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Условия заключения соглашения «аренды» рабочих мест с бюджетными, автономными, казенными учреждениями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Какие-либо особенности отсутствовали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заключении соглашения бюджетными, автономными, казенными учреждениями у</w:t>
            </w:r>
            <w:r>
              <w:rPr>
                <w:sz w:val="24"/>
                <w:szCs w:val="24"/>
              </w:rPr>
              <w:t xml:space="preserve">словия возмещения затрат на заработную плату и оборудование (оснащение) рабочих мест и (или) специальных рабочих мест для трудоустройства инвалидов в соглашение </w:t>
            </w:r>
            <w:r>
              <w:rPr>
                <w:b/>
                <w:sz w:val="24"/>
                <w:szCs w:val="24"/>
              </w:rPr>
              <w:t>могут не включаться.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учета инвалидов, устроенных в счет квоты по соглашениям «арен</w:t>
            </w:r>
            <w:r>
              <w:rPr>
                <w:sz w:val="24"/>
                <w:szCs w:val="24"/>
              </w:rPr>
              <w:t>ды»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если организации, ИП, у которых трудоустраивается инвалид, установлена квота для приема на работу инвалидов, то инвалиды, трудоустроенные к ним в соответствии с соглашением (по «аренде»), не учитываются в счет установленной им квоты.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Такое огр</w:t>
            </w:r>
            <w:r>
              <w:rPr>
                <w:sz w:val="24"/>
                <w:szCs w:val="24"/>
              </w:rPr>
              <w:t>аничительное условие отсутствует.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Случаи, когда работодатель освобождается от выполнения квоты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предусмотрены.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новом законе о занятости идет отсылка к правительству РФ, т.к. оно может теперь устанавливать перечень таких случаев. 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в постановлении Правительства РФ от 30.05.2024 № 709 в п. 4  Правил выполнения работодателями квоты приема на работу инвалидов прописаны такие случаи, когда работодатели освобождаются от выполнения установленной квоты для приема на работу инвалидов: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bookmarkStart w:id="4" w:name="sub_1041"/>
            <w:r>
              <w:rPr>
                <w:sz w:val="24"/>
                <w:szCs w:val="24"/>
              </w:rPr>
              <w:t>а) в</w:t>
            </w:r>
            <w:r>
              <w:rPr>
                <w:sz w:val="24"/>
                <w:szCs w:val="24"/>
              </w:rPr>
              <w:t xml:space="preserve"> случае если работодатели являются общественными объединениями инвалидов и образованными ими организациями, в </w:t>
            </w:r>
            <w:r>
              <w:rPr>
                <w:sz w:val="24"/>
                <w:szCs w:val="24"/>
              </w:rPr>
              <w:lastRenderedPageBreak/>
              <w:t>том числе хозяйственными товариществами и обществами, уставный (складочный) капитал которых состоит из вклада общественного объединения инвалидов;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bookmarkStart w:id="5" w:name="sub_1042"/>
            <w:bookmarkEnd w:id="4"/>
            <w:r>
              <w:rPr>
                <w:sz w:val="24"/>
                <w:szCs w:val="24"/>
              </w:rPr>
              <w:t>б) при признании работодателя несостоятельным (банкротом) и открытии конкурсного производства;</w:t>
            </w:r>
          </w:p>
          <w:bookmarkEnd w:id="5"/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в) при уменьшении численности работников до числа работников, при котором квота не устанавливается;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г) при отсутствии на учете в государственных учреждениях слу</w:t>
            </w:r>
            <w:r>
              <w:rPr>
                <w:sz w:val="24"/>
                <w:szCs w:val="24"/>
              </w:rPr>
              <w:t>жбы занятости безработных инвалидов, инвалидов, зарегистрированных в качестве ищущих работу соответствующих профессионально-квалификационным требованиям к вакансиям, заявленным работодателем, либо при отсутствии в субъекте Российской Федерации, где находит</w:t>
            </w:r>
            <w:r>
              <w:rPr>
                <w:sz w:val="24"/>
                <w:szCs w:val="24"/>
              </w:rPr>
              <w:t>ся работодатель, иных организаций или индивидуальных предпринимателей, готовых заключить соглашение.</w:t>
            </w:r>
          </w:p>
        </w:tc>
      </w:tr>
      <w:tr w:rsidR="002A137F">
        <w:tc>
          <w:tcPr>
            <w:tcW w:w="2376" w:type="dxa"/>
          </w:tcPr>
          <w:p w:rsidR="002A137F" w:rsidRDefault="00F35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Наличие прописанного алгоритма работы ЦЗН при отсутствии на учете в ЦЗН безработных инвалидов, инвалидов, зарегистрированных в качестве ищущих работу, соо</w:t>
            </w:r>
            <w:r>
              <w:rPr>
                <w:sz w:val="24"/>
                <w:szCs w:val="24"/>
              </w:rPr>
              <w:t>тветствующих профессионально-квалификационным требованиям к вакантным рабочим местам, заявленным работодателем в ЦЗН</w:t>
            </w:r>
          </w:p>
        </w:tc>
        <w:tc>
          <w:tcPr>
            <w:tcW w:w="4820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Отсутствовал четко прописанный порядок действий.</w:t>
            </w:r>
          </w:p>
        </w:tc>
        <w:tc>
          <w:tcPr>
            <w:tcW w:w="7371" w:type="dxa"/>
          </w:tcPr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отсутствии на учете в ЦЗН безработных инвалидов, инвалидов, зарегистрированных в качес</w:t>
            </w:r>
            <w:r>
              <w:rPr>
                <w:sz w:val="24"/>
                <w:szCs w:val="24"/>
              </w:rPr>
              <w:t>тве ищущих работу, соответствующих профессионально-квалификационным требованиям к вакантным рабочим местам, заявленным работодателем, ЦЗН обращаются к иным организациям, в том числе: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 общественным объединениям инвалидов – за содействием в поиске работни</w:t>
            </w:r>
            <w:r>
              <w:rPr>
                <w:sz w:val="24"/>
                <w:szCs w:val="24"/>
              </w:rPr>
              <w:t>ков из числа инвалидов, соответствующих профессионально-квалификационным требованиям к вакантным рабочим местам, заявленным работодателем;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к организациям, в том числе хозяйственным товариществам и обществам, уставный (складочный) капитал которых состоит </w:t>
            </w:r>
            <w:r>
              <w:rPr>
                <w:sz w:val="24"/>
                <w:szCs w:val="24"/>
              </w:rPr>
              <w:t>из вклада общественного объединения инвалидов, или индивидуальным предпринимателям в субъекте РФ, в котором осуществляет хозяйственную деятельность работодатель, согласным заключить соглашение, – за информацией о согласии этих организаций или индивидуальны</w:t>
            </w:r>
            <w:r>
              <w:rPr>
                <w:sz w:val="24"/>
                <w:szCs w:val="24"/>
              </w:rPr>
              <w:t>х предпринимателей заключить соглашение с работодателем.</w:t>
            </w:r>
          </w:p>
          <w:p w:rsidR="002A137F" w:rsidRDefault="00F35254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зависимости от полученной от них информации ЦЗН информирует работодателя или о возможности трудоустройства </w:t>
            </w:r>
            <w:r>
              <w:rPr>
                <w:sz w:val="24"/>
                <w:szCs w:val="24"/>
              </w:rPr>
              <w:lastRenderedPageBreak/>
              <w:t>инвалидов в счет выполнения квоты, или о заключении соглашения.</w:t>
            </w:r>
          </w:p>
          <w:p w:rsidR="002A137F" w:rsidRDefault="00F35254">
            <w:pPr>
              <w:ind w:firstLine="459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случае отсутствия возможности трудоустройства инвалидов в счет выполнения квоты или заключения соглашения государственные учреждения службы занятости информируют работодателя о невозможности выполнения квоты в текущем квартале.</w:t>
            </w:r>
          </w:p>
        </w:tc>
      </w:tr>
    </w:tbl>
    <w:p w:rsidR="00F35254" w:rsidRDefault="00F35254"/>
    <w:sectPr w:rsidR="00F35254" w:rsidSect="002A137F">
      <w:footerReference w:type="default" r:id="rId6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254" w:rsidRDefault="00F35254" w:rsidP="002A137F">
      <w:r>
        <w:separator/>
      </w:r>
    </w:p>
  </w:endnote>
  <w:endnote w:type="continuationSeparator" w:id="1">
    <w:p w:rsidR="00F35254" w:rsidRDefault="00F35254" w:rsidP="002A13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37F" w:rsidRDefault="002A137F">
    <w:pPr>
      <w:pStyle w:val="af1"/>
      <w:jc w:val="right"/>
    </w:pPr>
    <w:r>
      <w:fldChar w:fldCharType="begin"/>
    </w:r>
    <w:r w:rsidR="00F35254">
      <w:instrText xml:space="preserve"> PAGE   \* MERGEFORMAT </w:instrText>
    </w:r>
    <w:r>
      <w:fldChar w:fldCharType="separate"/>
    </w:r>
    <w:r w:rsidR="00343290">
      <w:rPr>
        <w:noProof/>
      </w:rPr>
      <w:t>1</w:t>
    </w:r>
    <w:r>
      <w:fldChar w:fldCharType="end"/>
    </w:r>
  </w:p>
  <w:p w:rsidR="002A137F" w:rsidRDefault="002A137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254" w:rsidRDefault="00F35254" w:rsidP="002A137F">
      <w:r>
        <w:separator/>
      </w:r>
    </w:p>
  </w:footnote>
  <w:footnote w:type="continuationSeparator" w:id="1">
    <w:p w:rsidR="00F35254" w:rsidRDefault="00F35254" w:rsidP="002A137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spaceForUL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137F"/>
    <w:rsid w:val="002A137F"/>
    <w:rsid w:val="00343290"/>
    <w:rsid w:val="00F35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37F"/>
    <w:pPr>
      <w:widowControl w:val="0"/>
    </w:pPr>
    <w:rPr>
      <w:rFonts w:ascii="Times New Roman" w:hAnsi="Times New Roman"/>
    </w:rPr>
  </w:style>
  <w:style w:type="paragraph" w:styleId="1">
    <w:name w:val="heading 1"/>
    <w:basedOn w:val="a"/>
    <w:link w:val="10"/>
    <w:uiPriority w:val="9"/>
    <w:qFormat/>
    <w:rsid w:val="002A137F"/>
    <w:pPr>
      <w:widowControl/>
      <w:spacing w:before="100" w:beforeAutospacing="1" w:after="100" w:afterAutospacing="1"/>
      <w:outlineLvl w:val="0"/>
    </w:pPr>
    <w:rPr>
      <w:b/>
      <w:bCs/>
      <w:sz w:val="48"/>
      <w:szCs w:val="48"/>
      <w:lang w:val="en-US" w:eastAsia="en-US"/>
    </w:rPr>
  </w:style>
  <w:style w:type="paragraph" w:styleId="2">
    <w:name w:val="heading 2"/>
    <w:basedOn w:val="a"/>
    <w:next w:val="a"/>
    <w:link w:val="20"/>
    <w:uiPriority w:val="9"/>
    <w:qFormat/>
    <w:rsid w:val="002A137F"/>
    <w:pPr>
      <w:widowControl/>
      <w:spacing w:before="20" w:after="360"/>
      <w:ind w:left="1900" w:hanging="1191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137F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A137F"/>
    <w:rPr>
      <w:rFonts w:ascii="Times New Roman" w:hAnsi="Times New Roman"/>
      <w:b/>
      <w:bCs/>
      <w:sz w:val="48"/>
      <w:szCs w:val="48"/>
    </w:rPr>
  </w:style>
  <w:style w:type="character" w:customStyle="1" w:styleId="30">
    <w:name w:val="Заголовок 3 Знак"/>
    <w:link w:val="3"/>
    <w:uiPriority w:val="9"/>
    <w:semiHidden/>
    <w:rsid w:val="002A137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 Spacing"/>
    <w:uiPriority w:val="1"/>
    <w:qFormat/>
    <w:rsid w:val="002A137F"/>
    <w:pPr>
      <w:widowControl w:val="0"/>
    </w:pPr>
    <w:rPr>
      <w:rFonts w:ascii="Times New Roman" w:hAnsi="Times New Roman"/>
    </w:rPr>
  </w:style>
  <w:style w:type="paragraph" w:styleId="a4">
    <w:name w:val="List Paragraph"/>
    <w:basedOn w:val="a"/>
    <w:uiPriority w:val="34"/>
    <w:qFormat/>
    <w:rsid w:val="002A137F"/>
    <w:pPr>
      <w:widowControl/>
      <w:ind w:left="708"/>
    </w:pPr>
  </w:style>
  <w:style w:type="character" w:customStyle="1" w:styleId="20">
    <w:name w:val="Заголовок 2 Знак"/>
    <w:basedOn w:val="a0"/>
    <w:link w:val="2"/>
    <w:uiPriority w:val="9"/>
    <w:rsid w:val="002A137F"/>
    <w:rPr>
      <w:rFonts w:ascii="Times New Roman" w:hAnsi="Times New Roman"/>
      <w:b/>
      <w:sz w:val="28"/>
    </w:rPr>
  </w:style>
  <w:style w:type="character" w:customStyle="1" w:styleId="a5">
    <w:name w:val="Гипертекстовая ссылка"/>
    <w:basedOn w:val="a0"/>
    <w:uiPriority w:val="99"/>
    <w:rsid w:val="002A137F"/>
    <w:rPr>
      <w:b/>
      <w:bCs/>
      <w:color w:val="106BBE"/>
    </w:rPr>
  </w:style>
  <w:style w:type="character" w:customStyle="1" w:styleId="a6">
    <w:name w:val="Цветовое выделение"/>
    <w:uiPriority w:val="99"/>
    <w:rsid w:val="002A137F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2A137F"/>
    <w:pPr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table" w:styleId="a8">
    <w:name w:val="Table Grid"/>
    <w:basedOn w:val="a1"/>
    <w:uiPriority w:val="59"/>
    <w:rsid w:val="002A137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2A137F"/>
    <w:pPr>
      <w:spacing w:before="75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a">
    <w:name w:val="Информация о версии"/>
    <w:basedOn w:val="a9"/>
    <w:next w:val="a"/>
    <w:uiPriority w:val="99"/>
    <w:rsid w:val="002A137F"/>
    <w:rPr>
      <w:i/>
      <w:iCs/>
    </w:rPr>
  </w:style>
  <w:style w:type="character" w:styleId="ab">
    <w:name w:val="Hyperlink"/>
    <w:basedOn w:val="a0"/>
    <w:uiPriority w:val="99"/>
    <w:unhideWhenUsed/>
    <w:rsid w:val="002A137F"/>
    <w:rPr>
      <w:color w:val="0000FF"/>
      <w:u w:val="single"/>
    </w:rPr>
  </w:style>
  <w:style w:type="paragraph" w:styleId="ac">
    <w:name w:val="footnote text"/>
    <w:basedOn w:val="a"/>
    <w:link w:val="ad"/>
    <w:rsid w:val="002A137F"/>
    <w:pPr>
      <w:widowControl/>
    </w:pPr>
  </w:style>
  <w:style w:type="character" w:customStyle="1" w:styleId="ad">
    <w:name w:val="Текст сноски Знак"/>
    <w:basedOn w:val="a0"/>
    <w:link w:val="ac"/>
    <w:rsid w:val="002A137F"/>
    <w:rPr>
      <w:rFonts w:ascii="Times New Roman" w:hAnsi="Times New Roman"/>
    </w:rPr>
  </w:style>
  <w:style w:type="character" w:styleId="ae">
    <w:name w:val="footnote reference"/>
    <w:basedOn w:val="a0"/>
    <w:rsid w:val="002A137F"/>
    <w:rPr>
      <w:vertAlign w:val="superscript"/>
    </w:rPr>
  </w:style>
  <w:style w:type="paragraph" w:styleId="af">
    <w:name w:val="header"/>
    <w:basedOn w:val="a"/>
    <w:link w:val="af0"/>
    <w:uiPriority w:val="99"/>
    <w:semiHidden/>
    <w:unhideWhenUsed/>
    <w:rsid w:val="002A137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2A137F"/>
    <w:rPr>
      <w:rFonts w:ascii="Times New Roman" w:hAnsi="Times New Roman"/>
    </w:rPr>
  </w:style>
  <w:style w:type="paragraph" w:styleId="af1">
    <w:name w:val="footer"/>
    <w:basedOn w:val="a"/>
    <w:link w:val="af2"/>
    <w:uiPriority w:val="99"/>
    <w:unhideWhenUsed/>
    <w:rsid w:val="002A137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A137F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1630</Words>
  <Characters>9291</Characters>
  <Application>Microsoft Office Word</Application>
  <DocSecurity>0</DocSecurity>
  <Lines>77</Lines>
  <Paragraphs>21</Paragraphs>
  <ScaleCrop>false</ScaleCrop>
  <Company/>
  <LinksUpToDate>false</LinksUpToDate>
  <CharactersWithSpaces>10900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ben_i</dc:creator>
  <cp:lastModifiedBy>Пользователь</cp:lastModifiedBy>
  <cp:revision>2</cp:revision>
  <dcterms:created xsi:type="dcterms:W3CDTF">2024-08-26T03:15:00Z</dcterms:created>
  <dcterms:modified xsi:type="dcterms:W3CDTF">2024-08-26T03:15:00Z</dcterms:modified>
  <cp:version>786432</cp:version>
</cp:coreProperties>
</file>