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УСТЬ-БЕЛОВСКОГО СЕЛЬСОВЕТА КРАСНОЩЁКОВСКОГО РАЙОНА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АЛТАЙСКОГО КРАЯ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>
      <w:pPr>
        <w:jc w:val="center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  <w:rtl w:val="off"/>
        </w:rPr>
        <w:t xml:space="preserve"> От 30.11</w:t>
      </w:r>
      <w:r>
        <w:rPr>
          <w:rFonts w:ascii="Times New Roman" w:hAnsi="Times New Roman" w:cs="Times New Roman"/>
          <w:sz w:val="28"/>
          <w:szCs w:val="28"/>
        </w:rPr>
        <w:t xml:space="preserve">.  2023 г. № </w:t>
      </w:r>
      <w:r>
        <w:rPr>
          <w:rFonts w:ascii="Times New Roman" w:hAnsi="Times New Roman" w:cs="Times New Roman"/>
          <w:sz w:val="28"/>
          <w:szCs w:val="28"/>
          <w:rtl w:val="off"/>
        </w:rPr>
        <w:t xml:space="preserve">17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с. Усть-Белая</w:t>
      </w:r>
    </w:p>
    <w:p>
      <w:pPr>
        <w:spacing w:after="0"/>
        <w:rPr>
          <w:rFonts w:ascii="Times New Roman" w:hAnsi="Times New Roman" w:cs="Times New Roman"/>
          <w:sz w:val="28"/>
          <w:szCs w:val="28"/>
          <w:rtl w:val="off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Порядка привлечения остатков 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средств на единый счет Бюджета муниципального 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образования Усть-Беловский сельсовет 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>
      <w:pPr>
        <w:spacing w:after="0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</w:rPr>
        <w:t>и возврата привлеченных средств</w:t>
      </w: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В соответствии со статьей 236.1 Бюджетного кодекса Российской Федерации, постановлением Правительства Российской Федерации от 30.03.2020 № 368 «Об утверждении Правил привлечения Федеральным казначейством остатков средств на единый счет федерального бюджета и возврата привлеченных средств и общих требований к порядку привлечения остатков средств на единый счет бюджета субъекта Российской Федерации (местного бюджета) и возврата привлеченных средств»</w:t>
      </w:r>
    </w:p>
    <w:p>
      <w:pPr>
        <w:pStyle w:val="ConsPlusNormal"/>
        <w:ind w:firstLine="709"/>
        <w:jc w:val="center"/>
        <w:rPr>
          <w:rtl w:val="off"/>
        </w:rPr>
      </w:pPr>
      <w:r>
        <w:t>ПОСТАНОВЛЯЮ:</w:t>
      </w:r>
    </w:p>
    <w:p>
      <w:pPr>
        <w:pStyle w:val="ConsPlusNormal"/>
        <w:ind w:firstLine="709"/>
        <w:jc w:val="center"/>
      </w:pP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</w:rPr>
        <w:t>1.Утвердить Порядок привлечения остатков средств на единый счет Бюджета муниципального образования  Усть-Беловский сельсовет Краснощёковского района Алтайского края и возврата привлеченных средств согласно приложению к настоящему постановлению.</w:t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ind w:firstLine="709"/>
        <w:spacing w:after="0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</w:rPr>
        <w:t>2. Признать утратившим силу постановление Администрации Усть-Беловского сельсовета Краснощёковского района Алтайского края от 17.01.2023 № 1 «Об утверждении Порядка привлечения остатков средств на единый счет Бюджета муниципального образования Усть-Беловский сельсовет Краснощёковского района Алтайского края и возврата привлеченных средств».</w:t>
      </w:r>
    </w:p>
    <w:p>
      <w:pPr>
        <w:ind w:firstLine="709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  <w:rtl w:val="off"/>
        </w:rPr>
      </w:pPr>
      <w:r>
        <w:rPr>
          <w:rFonts w:ascii="Times New Roman" w:hAnsi="Times New Roman" w:cs="Times New Roman"/>
          <w:sz w:val="28"/>
          <w:szCs w:val="28"/>
        </w:rPr>
        <w:t>3.Опубликовать данное постановление в Сборнике муниципальных правовых актов Краснощёковского района Алтайского края и обнародовать на официальном сайте Администрации Усть-Беловского сельсовета Краснощёковского района Алтайского края</w:t>
      </w:r>
      <w:r>
        <w:rPr>
          <w:rFonts w:ascii="Times New Roman" w:hAnsi="Times New Roman" w:cs="Times New Roman"/>
          <w:sz w:val="28"/>
          <w:szCs w:val="28"/>
          <w:rtl w:val="off"/>
        </w:rPr>
        <w:t>.</w:t>
      </w:r>
    </w:p>
    <w:p>
      <w:pPr>
        <w:ind w:firstLine="709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pStyle w:val="ConsPlusNormal"/>
        <w:ind w:firstLine="709"/>
        <w:rPr>
          <w:color w:val="FF0000"/>
        </w:rPr>
      </w:pPr>
      <w:r>
        <w:t>3. Контроль за исполнением настоящего постановления оставляю за собой.</w:t>
      </w:r>
    </w:p>
    <w:p>
      <w:pPr>
        <w:ind w:firstLine="708"/>
        <w:jc w:val="both"/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spacing w:after="0"/>
        <w:rPr>
          <w:rFonts w:ascii="Times New Roman" w:hAnsi="Times New Roman" w:cs="Times New Roman"/>
          <w:sz w:val="28"/>
          <w:szCs w:val="28"/>
        </w:rPr>
      </w:pPr>
    </w:p>
    <w:p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 Главы Администрации </w:t>
      </w:r>
    </w:p>
    <w:p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Усть-Беловского сельсовета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Медведева И.Ф.</w:t>
      </w:r>
    </w:p>
    <w:p/>
    <w:p/>
    <w:p/>
    <w:p/>
    <w:p/>
    <w:p/>
    <w:p/>
    <w:p/>
    <w:p/>
    <w:p/>
    <w:p/>
    <w:p/>
    <w:p/>
    <w:p/>
    <w:p/>
    <w:p/>
    <w:p/>
    <w:p/>
    <w:p/>
    <w:p/>
    <w:p/>
    <w:p>
      <w:pPr>
        <w:pStyle w:val="ConsPlusTitle"/>
        <w:jc w:val="right"/>
        <w:rPr>
          <w:rFonts w:asciiTheme="minorHAnsi" w:eastAsiaTheme="minorEastAsia" w:hAnsiTheme="minorHAnsi" w:cstheme="minorBidi"/>
          <w:b w:val="0"/>
          <w:szCs w:val="22"/>
        </w:rPr>
      </w:pPr>
    </w:p>
    <w:p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Приложение к постановлению </w:t>
      </w:r>
    </w:p>
    <w:p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Администрации Усть-Беловского сельсовета </w:t>
      </w:r>
    </w:p>
    <w:p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Краснощёковского района Алтайского края </w:t>
      </w:r>
    </w:p>
    <w:p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>
      <w:pPr>
        <w:pStyle w:val="ConsPlusTitle"/>
        <w:jc w:val="righ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от </w:t>
      </w:r>
      <w:r>
        <w:rPr>
          <w:rFonts w:ascii="Times New Roman" w:hAnsi="Times New Roman" w:cs="Times New Roman"/>
          <w:b w:val="0"/>
          <w:sz w:val="28"/>
          <w:szCs w:val="28"/>
          <w:rtl w:val="off"/>
        </w:rPr>
        <w:t>30.11.</w:t>
      </w:r>
      <w:r>
        <w:rPr>
          <w:rFonts w:ascii="Times New Roman" w:hAnsi="Times New Roman" w:cs="Times New Roman"/>
          <w:b w:val="0"/>
          <w:sz w:val="28"/>
          <w:szCs w:val="28"/>
        </w:rPr>
        <w:t>2023г.  №</w:t>
      </w:r>
      <w:r>
        <w:rPr>
          <w:rFonts w:ascii="Times New Roman" w:hAnsi="Times New Roman" w:cs="Times New Roman"/>
          <w:b w:val="0"/>
          <w:sz w:val="28"/>
          <w:szCs w:val="28"/>
          <w:rtl w:val="off"/>
        </w:rPr>
        <w:t>17</w:t>
      </w:r>
    </w:p>
    <w:p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Порядок</w:t>
      </w:r>
    </w:p>
    <w:p>
      <w:pPr>
        <w:pStyle w:val="ConsPlusTitle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привлечения остатков средств на единый счет Бюджета муниципального образования Усть-Беловский сельсовет Краснощёковского района Алтайского края и возврата привлеченных средств</w:t>
      </w:r>
    </w:p>
    <w:p>
      <w:pPr>
        <w:pStyle w:val="ConsPlusNormal"/>
        <w:jc w:val="both"/>
      </w:pPr>
    </w:p>
    <w:p>
      <w:pPr>
        <w:pStyle w:val="ConsPlusTitle"/>
        <w:outlineLvl w:val="1"/>
        <w:jc w:val="center"/>
        <w:numPr>
          <w:ilvl w:val="0"/>
          <w:numId w:val="1"/>
        </w:numPr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Общие положения</w:t>
      </w:r>
    </w:p>
    <w:p>
      <w:pPr>
        <w:pStyle w:val="ConsPlusNormal"/>
        <w:jc w:val="both"/>
      </w:pPr>
    </w:p>
    <w:p>
      <w:pPr>
        <w:adjustRightInd/>
        <w:pStyle w:val="ConsPlusNormal"/>
        <w:ind w:left="0" w:firstLine="0"/>
        <w:widowControl w:val="off"/>
        <w:jc w:val="both"/>
        <w:numPr>
          <w:ilvl w:val="1"/>
          <w:numId w:val="2"/>
        </w:numPr>
      </w:pPr>
      <w:r>
        <w:t>Настоящий Порядок устанавливает условия и порядок привлечения финансовым органом Бюджета муниципального образования Усть-Беловский сельсовет Краснощёковского района Алтайского края (далее – Финансовый орган) на единый счет Бюджета муниципального образования Усть-Беловский сельсовет Краснощёковского района Алтайского края (далее – Бюджет) остатков средств на:</w:t>
      </w:r>
    </w:p>
    <w:p>
      <w:pPr>
        <w:adjustRightInd/>
        <w:pStyle w:val="ConsPlusNormal"/>
        <w:widowControl w:val="off"/>
        <w:jc w:val="both"/>
      </w:pPr>
      <w:r>
        <w:t xml:space="preserve"> казначейском счете для осуществления и отражения операций с денежными средствами, поступающими во временное распоряжение получателей средств Бюджета № 03232643016204681700 (далее - казначейские счета), открытых Финансовому органу в Управлении Федерального казначейства по алтайскому краю (далее - Управление)</w:t>
      </w:r>
      <w:r>
        <w:rPr>
          <w:i/>
        </w:rPr>
        <w:t>,</w:t>
      </w:r>
      <w:r>
        <w:t xml:space="preserve"> условия и порядок возврата привлеченных средств.</w:t>
      </w:r>
    </w:p>
    <w:p>
      <w:pPr>
        <w:adjustRightInd/>
        <w:pStyle w:val="ConsPlusNormal"/>
        <w:ind w:left="0" w:firstLine="0"/>
        <w:widowControl w:val="off"/>
        <w:jc w:val="both"/>
        <w:numPr>
          <w:ilvl w:val="1"/>
          <w:numId w:val="2"/>
        </w:numPr>
      </w:pPr>
      <w:r>
        <w:t>Привлечение остатков средств на единый счет Бюджета  осуществляется в случае прогнозирования временного кассового разрыва – недостаточности на едином счете Бюджета денежных средств, необходимых для осуществления перечислений из бюджета, а также в качестве дополнительного источника финансирования дефицита бюджета</w:t>
      </w:r>
    </w:p>
    <w:p>
      <w:pPr>
        <w:pStyle w:val="af3"/>
        <w:ind w:left="0" w:firstLine="0"/>
        <w:jc w:val="bot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Платежи с казначейских счетов, с которых осуществляется привлечение средств на единый счет Бюджета, осуществляются в срок не позднее второго рабочего дня, следующего за днем приема к исполнению распоряжений о совершении казначейских платежей.</w:t>
      </w:r>
    </w:p>
    <w:p>
      <w:pPr>
        <w:pStyle w:val="af3"/>
        <w:ind w:left="0" w:firstLine="0"/>
        <w:jc w:val="bot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Финансовый орган осуществляет учет средств в части сумм, привлеченных на единый счет Бюджета с казначейских счетов и возвращенных с единого счета Бюджета на казначейские счета.</w:t>
      </w:r>
    </w:p>
    <w:p>
      <w:pPr>
        <w:pStyle w:val="af3"/>
        <w:ind w:left="0" w:firstLine="0"/>
        <w:jc w:val="both"/>
        <w:numPr>
          <w:ilvl w:val="1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Формирование распоряжения о совершении  казначейских платежей, необходимого для обеспечения привлечения остатков средств на единый счет Бюджета и их возврата, осуществляется Управлением в случае передачи ему функций Финансового органа, связанных с привлечением на единый счет Бюджета и возвратом привлеченных средств в соответствии со статьей 220.2 Бюджетного кодекса Российской Федерации.</w:t>
      </w:r>
    </w:p>
    <w:p>
      <w:pPr>
        <w:pStyle w:val="af3"/>
        <w:ind w:left="0"/>
        <w:jc w:val="both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pStyle w:val="af3"/>
        <w:jc w:val="center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Условия и порядок привлечения остатков средств на единый счет Бюджета</w:t>
      </w:r>
    </w:p>
    <w:p>
      <w:pPr>
        <w:pStyle w:val="af3"/>
        <w:ind w:left="108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adjustRightInd/>
        <w:pStyle w:val="ConsPlusNormal"/>
        <w:ind w:left="0" w:firstLine="709"/>
        <w:widowControl w:val="off"/>
        <w:jc w:val="both"/>
        <w:numPr>
          <w:ilvl w:val="1"/>
          <w:numId w:val="3"/>
        </w:numPr>
      </w:pPr>
      <w:r>
        <w:t>При возникновении потребности в привлечении остатков на единый счет Бюджета Финансовый орган направляет в Управление обращение о привлечении остатков средств на единый счет Бюджета за счет средств на казначейских счетах  не позднее  трех рабочих дней до даты начала привлечения средств.</w:t>
      </w:r>
    </w:p>
    <w:p>
      <w:pPr>
        <w:adjustRightInd/>
        <w:pStyle w:val="ConsPlusNormal"/>
        <w:ind w:left="0" w:firstLine="0"/>
        <w:widowControl w:val="off"/>
        <w:jc w:val="both"/>
        <w:numPr>
          <w:ilvl w:val="1"/>
          <w:numId w:val="3"/>
        </w:numPr>
      </w:pPr>
      <w:r>
        <w:t>Объем привлекаемых средств определяется исходя из остатка средств на соответствующем казначейском счете, сложившегося после исполнения распоряжений о совершении казначейских платежей, с учетом необходимости обеспечения достаточности средств для осуществления выплат с соответствующего казначейского счета в рабочий день, следующий за днем привлечения средств.</w:t>
      </w:r>
    </w:p>
    <w:p>
      <w:pPr>
        <w:adjustRightInd/>
        <w:pStyle w:val="ConsPlusNormal"/>
        <w:ind w:left="0" w:firstLine="0"/>
        <w:widowControl w:val="off"/>
        <w:jc w:val="both"/>
        <w:numPr>
          <w:ilvl w:val="1"/>
          <w:numId w:val="3"/>
        </w:numPr>
      </w:pPr>
      <w:r>
        <w:t>Для привлечения средств Управление формирует распоряжение о совершении казначейского платежа не позднее 16 часов местного времени ( в дни, непосредственно предшествующие выходным и нерабочим  праздничным дням- до 15 часов местного времени) текущего дня.</w:t>
      </w:r>
    </w:p>
    <w:p>
      <w:pPr>
        <w:adjustRightInd/>
        <w:pStyle w:val="ConsPlusNormal"/>
        <w:widowControl w:val="off"/>
        <w:jc w:val="both"/>
      </w:pPr>
    </w:p>
    <w:p>
      <w:pPr>
        <w:adjustRightInd/>
        <w:pStyle w:val="ConsPlusNormal"/>
        <w:widowControl w:val="off"/>
        <w:jc w:val="center"/>
        <w:numPr>
          <w:ilvl w:val="0"/>
          <w:numId w:val="1"/>
        </w:numPr>
      </w:pPr>
      <w:r>
        <w:t>Условия и порядок возврата привлеченных средств</w:t>
      </w:r>
    </w:p>
    <w:p>
      <w:pPr>
        <w:pStyle w:val="ConsPlusNormal"/>
        <w:ind w:left="1080"/>
      </w:pPr>
    </w:p>
    <w:p>
      <w:pPr>
        <w:adjustRightInd/>
        <w:pStyle w:val="ConsPlusNormal"/>
        <w:widowControl w:val="off"/>
        <w:jc w:val="both"/>
      </w:pPr>
      <w:r>
        <w:t>3.1 Условием для возврата остатков средств с единого счета Бюджета является недостаточностью средств на соответствующем казначейском счете в объеме, обеспечивающем своевременное исполнение распоряжений о совершении казначейских платежей или решение Финансового органа.</w:t>
      </w:r>
    </w:p>
    <w:p>
      <w:pPr>
        <w:pStyle w:val="af3"/>
        <w:ind w:left="0"/>
        <w:jc w:val="both"/>
        <w:spacing w:after="0" w:line="240" w:lineRule="auto"/>
        <w:rPr>
          <w:lang w:eastAsia="ru-RU"/>
          <w:rFonts w:ascii="Times New Roman" w:eastAsia="Times New Roman" w:hAnsi="Times New Roman" w:cs="Times New Roman"/>
          <w:sz w:val="28"/>
          <w:szCs w:val="28"/>
        </w:rPr>
      </w:pPr>
      <w:r>
        <w:rPr>
          <w:lang w:eastAsia="ru-RU"/>
          <w:rFonts w:ascii="Times New Roman" w:eastAsia="Times New Roman" w:hAnsi="Times New Roman" w:cs="Times New Roman"/>
          <w:sz w:val="28"/>
          <w:szCs w:val="28"/>
        </w:rPr>
        <w:t>3.2 Возврат остатков средств осуществляется с единого счета Бюджета на казначейский счет, с которого они были ранее перечислены, в том числе в целях проведения операций за счет привлеченных средств, не позднее второго рабочего дня, следующего за днем приема к исполнению распоряжений о совершении казначейских платежей</w:t>
      </w:r>
    </w:p>
    <w:p>
      <w:pPr>
        <w:adjustRightInd/>
        <w:pStyle w:val="ConsPlusNormal"/>
        <w:widowControl w:val="off"/>
        <w:jc w:val="both"/>
        <w:rPr>
          <w:i/>
        </w:rPr>
      </w:pPr>
      <w:r>
        <w:t>3.3 Объем средств, подлежащих возврату на соответствующий  казначейский счет, определяется в пределах суммы, обеспечивающей своевременное исполнение распоряжений о совершении казначейских платежей, при условии соблюдения требования, установленного в пункте 3.4 Порядка.</w:t>
      </w:r>
    </w:p>
    <w:p>
      <w:pPr>
        <w:adjustRightInd/>
        <w:pStyle w:val="ConsPlusNormal"/>
        <w:widowControl w:val="off"/>
        <w:jc w:val="both"/>
        <w:rPr>
          <w:rtl w:val="off"/>
        </w:rPr>
      </w:pPr>
      <w:r>
        <w:t xml:space="preserve">3.4 Перечисление средств с единого счета Бюджета на соответствующий казначейский счет, осуществляется в пределах суммы не превышающей разницу между  объемом средств, поступивших с казначейского счета на единый счет Бюджета, и объемом средств, перечисленных с единого счета Бюджета на казначейский счет. </w:t>
      </w:r>
    </w:p>
    <w:p>
      <w:pPr>
        <w:adjustRightInd/>
        <w:pStyle w:val="ConsPlusNormal"/>
        <w:widowControl w:val="off"/>
        <w:jc w:val="both"/>
      </w:pPr>
    </w:p>
    <w:p>
      <w:pPr>
        <w:pStyle w:val="ConsPlusTitle"/>
        <w:ind w:left="1080"/>
        <w:outlineLvl w:val="1"/>
      </w:pPr>
    </w:p>
    <w:p>
      <w:pPr>
        <w:pStyle w:val="ConsPlusTitle"/>
        <w:ind w:left="1080"/>
        <w:outlineLvl w:val="1"/>
      </w:pPr>
    </w:p>
    <w:p>
      <w:pPr>
        <w:pStyle w:val="ConsPlusTitle"/>
        <w:ind w:left="1080"/>
        <w:outlineLvl w:val="1"/>
      </w:pPr>
    </w:p>
    <w:p>
      <w:pPr>
        <w:pStyle w:val="ConsPlusTitle"/>
        <w:ind w:left="1080"/>
        <w:outlineLvl w:val="1"/>
      </w:pPr>
    </w:p>
    <w:p>
      <w:pPr>
        <w:pStyle w:val="ConsPlusTitle"/>
        <w:ind w:left="1080"/>
        <w:outlineLvl w:val="1"/>
      </w:pPr>
    </w:p>
    <w:p>
      <w:pPr>
        <w:pStyle w:val="ConsPlusTitle"/>
        <w:ind w:left="1080"/>
        <w:outlineLvl w:val="1"/>
      </w:pPr>
    </w:p>
    <w:p>
      <w:pPr>
        <w:pStyle w:val="ConsPlusTitle"/>
        <w:ind w:left="1080"/>
        <w:outlineLvl w:val="1"/>
      </w:pPr>
    </w:p>
    <w:p>
      <w:pPr>
        <w:pStyle w:val="ConsPlusTitle"/>
        <w:ind w:left="1080"/>
        <w:outlineLvl w:val="1"/>
      </w:pPr>
    </w:p>
    <w:p>
      <w:pPr>
        <w:pStyle w:val="ConsPlusTitle"/>
        <w:ind w:left="1080"/>
        <w:outlineLvl w:val="1"/>
        <w:rPr>
          <w:rtl w:val="off"/>
        </w:rPr>
      </w:pPr>
    </w:p>
    <w:p>
      <w:pPr>
        <w:pStyle w:val="ConsPlusTitle"/>
        <w:ind w:left="1080"/>
        <w:outlineLvl w:val="1"/>
      </w:pPr>
    </w:p>
    <w:p>
      <w:pPr>
        <w:pStyle w:val="af4"/>
        <w:framePr w:w="5086" w:h="3676" w:wrap="around" w:hAnchor="text" w:vAnchor="text" w:x="856" w:y="1"/>
        <w:rPr>
          <w:sz w:val="20"/>
          <w:rtl w:val="off"/>
        </w:rPr>
      </w:pPr>
      <w:r>
        <w:rPr>
          <w:sz w:val="20"/>
        </w:rPr>
        <w:t>АДМИНИСТРАЦИЯ  УСТЬ-БЕЛОВСКОГО СЕЛЬСОВЕТА</w:t>
      </w:r>
    </w:p>
    <w:p>
      <w:pPr>
        <w:pStyle w:val="af4"/>
        <w:framePr w:w="5086" w:h="3676" w:wrap="around" w:hAnchor="text" w:vAnchor="text" w:x="856" w:y="1"/>
        <w:rPr>
          <w:sz w:val="20"/>
        </w:rPr>
      </w:pPr>
      <w:r>
        <w:rPr>
          <w:sz w:val="20"/>
        </w:rPr>
        <w:t xml:space="preserve"> КРАСНОЩЁКОВСКОГО РАЙОНА</w:t>
      </w:r>
    </w:p>
    <w:p>
      <w:pPr>
        <w:jc w:val="center"/>
        <w:framePr w:w="5086" w:h="3676" w:hSpace="180" w:wrap="around" w:hAnchor="page" w:vAnchor="text" w:x="856" w:y="1"/>
        <w:spacing w:after="0"/>
        <w:rPr>
          <w:rFonts w:ascii="Times New Roman" w:hAnsi="Times New Roman" w:cs="Times New Roman"/>
          <w:b/>
          <w:sz w:val="26"/>
        </w:rPr>
      </w:pPr>
      <w:r>
        <w:rPr>
          <w:rFonts w:ascii="Times New Roman" w:hAnsi="Times New Roman" w:cs="Times New Roman"/>
        </w:rPr>
        <w:t>АЛТАЙСКОГО КРАЯ</w:t>
      </w:r>
    </w:p>
    <w:p>
      <w:pPr>
        <w:jc w:val="center"/>
        <w:framePr w:w="5086" w:h="3676" w:hSpace="180" w:wrap="around" w:hAnchor="page" w:vAnchor="text" w:x="856" w:y="1"/>
        <w:spacing w:after="0"/>
        <w:rPr>
          <w:rFonts w:ascii="Times New Roman" w:hAnsi="Times New Roman" w:cs="Times New Roman"/>
          <w:sz w:val="16"/>
        </w:rPr>
      </w:pPr>
    </w:p>
    <w:p>
      <w:pPr>
        <w:jc w:val="center"/>
        <w:framePr w:w="5086" w:h="3676" w:hSpace="180" w:wrap="around" w:hAnchor="page" w:vAnchor="text" w:x="856" w:y="1"/>
        <w:spacing w:after="0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>658347, с. Усть-Белое, ул. Школьная 3</w:t>
      </w:r>
    </w:p>
    <w:p>
      <w:pPr>
        <w:jc w:val="center"/>
        <w:framePr w:w="5086" w:h="3676" w:hSpace="180" w:wrap="around" w:hAnchor="page" w:vAnchor="text" w:x="856" w:y="1"/>
        <w:spacing w:after="0"/>
        <w:rPr>
          <w:rFonts w:ascii="Times New Roman" w:hAnsi="Times New Roman" w:cs="Times New Roman"/>
          <w:sz w:val="16"/>
        </w:rPr>
      </w:pPr>
      <w:r>
        <w:rPr>
          <w:rFonts w:ascii="Times New Roman" w:hAnsi="Times New Roman" w:cs="Times New Roman"/>
          <w:sz w:val="18"/>
        </w:rPr>
        <w:t>Телефон: 8 385 75 23917</w:t>
      </w:r>
    </w:p>
    <w:p>
      <w:pPr>
        <w:jc w:val="center"/>
        <w:framePr w:w="5086" w:h="3676" w:hSpace="180" w:wrap="around" w:hAnchor="page" w:vAnchor="text" w:x="856" w:y="1"/>
        <w:spacing w:after="0"/>
        <w:rPr>
          <w:rFonts w:ascii="Times New Roman" w:hAnsi="Times New Roman" w:cs="Times New Roman"/>
          <w:i/>
          <w:sz w:val="24"/>
          <w:u w:val="single" w:color="auto"/>
        </w:rPr>
      </w:pPr>
      <w:r>
        <w:rPr>
          <w:rFonts w:ascii="Times New Roman" w:hAnsi="Times New Roman" w:cs="Times New Roman"/>
          <w:i/>
          <w:sz w:val="24"/>
          <w:u w:val="single" w:color="auto"/>
        </w:rPr>
        <w:t>№</w:t>
      </w:r>
      <w:r>
        <w:rPr>
          <w:rFonts w:ascii="Times New Roman" w:hAnsi="Times New Roman" w:cs="Times New Roman"/>
          <w:i/>
          <w:sz w:val="24"/>
          <w:u w:val="single" w:color="auto"/>
        </w:rPr>
        <w:softHyphen/>
      </w:r>
      <w:r>
        <w:rPr>
          <w:rFonts w:ascii="Times New Roman" w:hAnsi="Times New Roman" w:cs="Times New Roman"/>
          <w:i/>
          <w:sz w:val="24"/>
          <w:u w:val="single" w:color="auto"/>
        </w:rPr>
        <w:softHyphen/>
      </w:r>
      <w:r>
        <w:rPr>
          <w:rFonts w:ascii="Times New Roman" w:hAnsi="Times New Roman" w:cs="Times New Roman"/>
          <w:i/>
          <w:sz w:val="24"/>
          <w:u w:val="single" w:color="auto"/>
        </w:rPr>
        <w:softHyphen/>
      </w:r>
      <w:r>
        <w:rPr>
          <w:rFonts w:ascii="Times New Roman" w:hAnsi="Times New Roman" w:cs="Times New Roman"/>
          <w:i/>
          <w:sz w:val="24"/>
          <w:u w:val="single" w:color="auto"/>
        </w:rPr>
        <w:softHyphen/>
      </w:r>
      <w:r>
        <w:rPr>
          <w:rFonts w:ascii="Times New Roman" w:hAnsi="Times New Roman" w:cs="Times New Roman"/>
          <w:i/>
          <w:sz w:val="24"/>
          <w:u w:val="single" w:color="auto"/>
        </w:rPr>
        <w:softHyphen/>
      </w:r>
      <w:r>
        <w:rPr>
          <w:rFonts w:ascii="Times New Roman" w:hAnsi="Times New Roman" w:cs="Times New Roman"/>
          <w:i/>
          <w:sz w:val="24"/>
          <w:u w:val="single" w:color="auto"/>
        </w:rPr>
        <w:softHyphen/>
      </w:r>
      <w:r>
        <w:rPr>
          <w:rFonts w:ascii="Times New Roman" w:hAnsi="Times New Roman" w:cs="Times New Roman"/>
          <w:i/>
          <w:sz w:val="24"/>
          <w:u w:val="single" w:color="auto"/>
        </w:rPr>
        <w:softHyphen/>
      </w:r>
      <w:r>
        <w:rPr>
          <w:rFonts w:ascii="Times New Roman" w:hAnsi="Times New Roman" w:cs="Times New Roman"/>
          <w:i/>
          <w:sz w:val="24"/>
          <w:u w:val="single" w:color="auto"/>
        </w:rPr>
        <w:t xml:space="preserve"> </w:t>
      </w:r>
      <w:r>
        <w:rPr>
          <w:rFonts w:ascii="Times New Roman" w:hAnsi="Times New Roman" w:cs="Times New Roman"/>
          <w:i/>
          <w:sz w:val="24"/>
          <w:u w:val="single" w:color="auto"/>
          <w:rtl w:val="off"/>
        </w:rPr>
        <w:t>124</w:t>
      </w:r>
      <w:r>
        <w:rPr>
          <w:rFonts w:ascii="Times New Roman" w:hAnsi="Times New Roman" w:cs="Times New Roman"/>
          <w:i/>
          <w:sz w:val="24"/>
          <w:u w:val="single" w:color="auto"/>
        </w:rPr>
        <w:t xml:space="preserve">  от_</w:t>
      </w:r>
      <w:r>
        <w:rPr>
          <w:rFonts w:ascii="Times New Roman" w:hAnsi="Times New Roman" w:cs="Times New Roman"/>
          <w:i/>
          <w:sz w:val="24"/>
          <w:u w:val="single" w:color="auto"/>
          <w:rtl w:val="off"/>
        </w:rPr>
        <w:t>30.</w:t>
      </w:r>
      <w:r>
        <w:rPr>
          <w:rFonts w:ascii="Times New Roman" w:hAnsi="Times New Roman" w:cs="Times New Roman"/>
          <w:i/>
          <w:sz w:val="24"/>
          <w:u w:val="single" w:color="auto"/>
        </w:rPr>
        <w:t xml:space="preserve"> .11.2023 г.</w:t>
      </w:r>
    </w:p>
    <w:p>
      <w:pPr>
        <w:framePr w:w="5086" w:h="3676" w:hSpace="180" w:wrap="around" w:hAnchor="page" w:vAnchor="text" w:x="856" w:y="1"/>
        <w:spacing w:after="0"/>
        <w:rPr>
          <w:rFonts w:ascii="Times New Roman" w:hAnsi="Times New Roman" w:cs="Times New Roman"/>
          <w:i/>
          <w:sz w:val="24"/>
          <w:u w:val="single" w:color="auto"/>
        </w:rPr>
      </w:pPr>
    </w:p>
    <w:p>
      <w:pPr>
        <w:jc w:val="center"/>
        <w:framePr w:w="5086" w:h="3676" w:hSpace="180" w:wrap="around" w:hAnchor="page" w:vAnchor="text" w:x="856" w:y="1"/>
        <w:spacing w:after="0"/>
        <w:rPr>
          <w:rFonts w:ascii="Times New Roman" w:hAnsi="Times New Roman" w:cs="Times New Roman"/>
          <w:sz w:val="24"/>
        </w:rPr>
      </w:pPr>
    </w:p>
    <w:p>
      <w:pPr>
        <w:jc w:val="right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Управление Федерального </w:t>
      </w:r>
    </w:p>
    <w:p>
      <w:pPr>
        <w:jc w:val="right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казначейства по Алтайскому краю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jc w:val="right"/>
        <w:spacing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ind w:firstLine="709"/>
        <w:jc w:val="both"/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Усть-Беловского сельсовета Краснощёковского района Алтайского края направляет постановление Администрации Усть-Беловского сельсовета Краснощёковского района Алтайского края    «Об утверждении Порядка привлечения остатков средств на единый счет Бюджета муниципального образования Усть-Беловский сельсовет Краснощёковского района Алтайского края и возврата привлеченных средств».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И.О.Главы Администрации </w:t>
      </w:r>
    </w:p>
    <w:p>
      <w:pPr>
        <w:tabs>
          <w:tab w:val="left" w:pos="717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Усть-Беловского сельсовета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Медведева И.Ф.</w:t>
      </w:r>
    </w:p>
    <w:p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>
      <w:pPr>
        <w:pStyle w:val="ConsPlusTitle"/>
        <w:ind w:left="1080"/>
        <w:outlineLvl w:val="1"/>
      </w:pPr>
    </w:p>
    <w:p>
      <w:pPr>
        <w:pStyle w:val="ConsPlusTitle"/>
        <w:outlineLvl w:val="1"/>
      </w:pPr>
    </w:p>
    <w:p>
      <w:pPr>
        <w:pStyle w:val="ConsPlusTitle"/>
        <w:ind w:left="1080"/>
        <w:outlineLvl w:val="1"/>
      </w:pPr>
    </w:p>
    <w:p>
      <w:pPr>
        <w:pStyle w:val="ConsPlusTitle"/>
        <w:outlineLvl w:val="1"/>
      </w:pPr>
    </w:p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Calibri">
    <w:panose1 w:val="020F0502020204030204"/>
    <w:family w:val="swiss"/>
    <w:charset w:val="cc"/>
    <w:notTrueType w:val="true"/>
    <w:sig w:usb0="E4002EFF" w:usb1="C000247B" w:usb2="00000009" w:usb3="00000001" w:csb0="200001FF" w:csb1="00000001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lvlText w:val="%1.%2."/>
      <w:lvlJc w:val="left"/>
      <w:isLgl/>
      <w:pPr>
        <w:ind w:left="1429" w:hanging="720"/>
      </w:pPr>
      <w:rPr>
        <w:rFonts w:hint="default"/>
        <w:i w:val="0"/>
      </w:rPr>
    </w:lvl>
    <w:lvl w:ilvl="2">
      <w:start w:val="1"/>
      <w:lvlText w:val="%1.%2.%3."/>
      <w:lvlJc w:val="left"/>
      <w:isLgl/>
      <w:pPr>
        <w:ind w:left="1778" w:hanging="720"/>
      </w:pPr>
      <w:rPr>
        <w:rFonts w:hint="default"/>
      </w:rPr>
    </w:lvl>
    <w:lvl w:ilvl="3">
      <w:start w:val="1"/>
      <w:lvlText w:val="%1.%2.%3.%4."/>
      <w:lvlJc w:val="left"/>
      <w:isLgl/>
      <w:pPr>
        <w:ind w:left="2487" w:hanging="1080"/>
      </w:pPr>
      <w:rPr>
        <w:rFonts w:hint="default"/>
      </w:rPr>
    </w:lvl>
    <w:lvl w:ilvl="4">
      <w:start w:val="1"/>
      <w:lvlText w:val="%1.%2.%3.%4.%5."/>
      <w:lvlJc w:val="left"/>
      <w:isLgl/>
      <w:pPr>
        <w:ind w:left="2836" w:hanging="1080"/>
      </w:pPr>
      <w:rPr>
        <w:rFonts w:hint="default"/>
      </w:rPr>
    </w:lvl>
    <w:lvl w:ilvl="5">
      <w:start w:val="1"/>
      <w:lvlText w:val="%1.%2.%3.%4.%5.%6."/>
      <w:lvlJc w:val="left"/>
      <w:isLgl/>
      <w:pPr>
        <w:ind w:left="3545" w:hanging="1440"/>
      </w:pPr>
      <w:rPr>
        <w:rFonts w:hint="default"/>
      </w:rPr>
    </w:lvl>
    <w:lvl w:ilvl="6">
      <w:start w:val="1"/>
      <w:lvlText w:val="%1.%2.%3.%4.%5.%6.%7."/>
      <w:lvlJc w:val="left"/>
      <w:isLgl/>
      <w:pPr>
        <w:ind w:left="4254" w:hanging="1800"/>
      </w:pPr>
      <w:rPr>
        <w:rFonts w:hint="default"/>
      </w:rPr>
    </w:lvl>
    <w:lvl w:ilvl="7">
      <w:start w:val="1"/>
      <w:lvlText w:val="%1.%2.%3.%4.%5.%6.%7.%8."/>
      <w:lvlJc w:val="left"/>
      <w:isLgl/>
      <w:pPr>
        <w:ind w:left="4603" w:hanging="1800"/>
      </w:pPr>
      <w:rPr>
        <w:rFonts w:hint="default"/>
      </w:rPr>
    </w:lvl>
    <w:lvl w:ilvl="8">
      <w:start w:val="1"/>
      <w:lvlText w:val="%1.%2.%3.%4.%5.%6.%7.%8.%9."/>
      <w:lvlJc w:val="left"/>
      <w:isLgl/>
      <w:pPr>
        <w:ind w:left="5312" w:hanging="2160"/>
      </w:pPr>
      <w:rPr>
        <w:rFonts w:hint="default"/>
      </w:rPr>
    </w:lvl>
  </w:abstractNum>
  <w:abstractNum w:abstractNumId="1">
    <w:nsid w:val="3a5e799e"/>
    <w:multiLevelType w:val="hybridMultilevel"/>
    <w:tmpl w:val="58a8b0e4"/>
    <w:lvl w:ilvl="0" w:tplc="419000f">
      <w:start w:val="1"/>
      <w:lvlText w:val="%1."/>
      <w:lvlJc w:val="left"/>
      <w:pPr>
        <w:ind w:left="720" w:hanging="360"/>
      </w:pPr>
      <w:rPr>
        <w:rFonts w:hint="default"/>
      </w:rPr>
    </w:lvl>
    <w:lvl w:ilvl="1" w:tplc="4190019">
      <w:start w:val="1"/>
      <w:numFmt w:val="lowerLetter"/>
      <w:lvlText w:val="%2."/>
      <w:lvlJc w:val="left"/>
      <w:pPr>
        <w:ind w:left="1440" w:hanging="360"/>
      </w:pPr>
    </w:lvl>
    <w:lvl w:ilvl="2" w:tentative="on" w:tplc="419001b">
      <w:start w:val="1"/>
      <w:numFmt w:val="lowerRoman"/>
      <w:lvlText w:val="%3."/>
      <w:lvlJc w:val="right"/>
      <w:pPr>
        <w:ind w:left="2160" w:hanging="180"/>
      </w:pPr>
    </w:lvl>
    <w:lvl w:ilvl="3" w:tentative="on" w:tplc="419000f">
      <w:start w:val="1"/>
      <w:lvlText w:val="%4."/>
      <w:lvlJc w:val="left"/>
      <w:pPr>
        <w:ind w:left="2880" w:hanging="360"/>
      </w:pPr>
    </w:lvl>
    <w:lvl w:ilvl="4" w:tentative="on" w:tplc="4190019">
      <w:start w:val="1"/>
      <w:numFmt w:val="lowerLetter"/>
      <w:lvlText w:val="%5."/>
      <w:lvlJc w:val="left"/>
      <w:pPr>
        <w:ind w:left="3600" w:hanging="360"/>
      </w:pPr>
    </w:lvl>
    <w:lvl w:ilvl="5" w:tentative="on" w:tplc="419001b">
      <w:start w:val="1"/>
      <w:numFmt w:val="lowerRoman"/>
      <w:lvlText w:val="%6."/>
      <w:lvlJc w:val="right"/>
      <w:pPr>
        <w:ind w:left="4320" w:hanging="180"/>
      </w:pPr>
    </w:lvl>
    <w:lvl w:ilvl="6" w:tentative="on" w:tplc="419000f">
      <w:start w:val="1"/>
      <w:lvlText w:val="%7."/>
      <w:lvlJc w:val="left"/>
      <w:pPr>
        <w:ind w:left="5040" w:hanging="360"/>
      </w:pPr>
    </w:lvl>
    <w:lvl w:ilvl="7" w:tentative="on" w:tplc="4190019">
      <w:start w:val="1"/>
      <w:numFmt w:val="lowerLetter"/>
      <w:lvlText w:val="%8."/>
      <w:lvlJc w:val="left"/>
      <w:pPr>
        <w:ind w:left="5760" w:hanging="360"/>
      </w:pPr>
    </w:lvl>
    <w:lvl w:ilvl="8" w:tentative="on" w:tplc="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200863"/>
    <w:multiLevelType w:val="multilevel"/>
    <w:tmpl w:val="8364a70"/>
    <w:lvl w:ilvl="0">
      <w:start w:val="2"/>
      <w:lvlText w:val="%1"/>
      <w:lvlJc w:val="left"/>
      <w:pPr>
        <w:ind w:left="360" w:hanging="360"/>
      </w:pPr>
      <w:rPr>
        <w:rFonts w:hint="default"/>
      </w:rPr>
    </w:lvl>
    <w:lvl w:ilvl="1">
      <w:start w:val="1"/>
      <w:lvlText w:val="%1.%2"/>
      <w:lvlJc w:val="left"/>
      <w:pPr>
        <w:ind w:left="502" w:hanging="360"/>
      </w:pPr>
      <w:rPr>
        <w:rFonts w:hint="default"/>
        <w:i w:val="0"/>
      </w:rPr>
    </w:lvl>
    <w:lvl w:ilvl="2">
      <w:start w:val="1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useFELayout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ru-RU" w:bidi="ar-SA"/>
        <w:rFonts w:asciiTheme="minorHAnsi" w:eastAsiaTheme="minorEastAsia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qFormat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customStyle="1" w:styleId="ConsPlusTitle">
    <w:name w:val="ConsPlusTitle"/>
    <w:pPr>
      <w:autoSpaceDE w:val="off"/>
      <w:autoSpaceDN w:val="off"/>
      <w:widowControl w:val="off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customStyle="1" w:styleId="ConsPlusNormal">
    <w:name w:val="ConsPlusNormal"/>
    <w:pPr>
      <w:adjustRightInd/>
      <w:autoSpaceDE w:val="off"/>
      <w:autoSpaceDN w:val="off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f4">
    <w:name w:val="caption"/>
    <w:basedOn w:val="a1"/>
    <w:next w:val="a1"/>
    <w:qFormat/>
    <w:semiHidden/>
    <w:unhideWhenUsed/>
    <w:pPr>
      <w:jc w:val="center"/>
      <w:framePr w:w="6201" w:h="5313" w:hSpace="180" w:wrap="around" w:hAnchor="page" w:vAnchor="text" w:x="285" w:hRule="auto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af3">
    <w:name w:val="List Paragraph"/>
    <w:basedOn w:val="a1"/>
    <w:qFormat/>
    <w:pPr>
      <w:ind w:left="720"/>
      <w:contextualSpacing/>
    </w:pPr>
    <w:rPr>
      <w:lang w:eastAsia="en-US"/>
      <w:rFonts w:eastAsiaTheme="minorHAns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mvideo</cp:lastModifiedBy>
  <cp:revision>1</cp:revision>
  <dcterms:created xsi:type="dcterms:W3CDTF">2020-01-14T04:28:00Z</dcterms:created>
  <dcterms:modified xsi:type="dcterms:W3CDTF">2023-11-30T03:54:12Z</dcterms:modified>
  <cp:lastPrinted>2023-11-30T03:49:37Z</cp:lastPrinted>
  <cp:version>0900.0000.01</cp:version>
</cp:coreProperties>
</file>