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bookmarkEnd w:id="0"/>
    <w:p w:rsidR="00A26F16" w:rsidRDefault="00DB44C8">
      <w:pPr>
        <w:pStyle w:val="af9"/>
      </w:pPr>
      <w:r>
        <w:rPr>
          <w:noProof/>
          <w:lang w:eastAsia="ru-RU"/>
        </w:rPr>
        <mc:AlternateContent>
          <mc:Choice Requires="wpg">
            <w:drawing>
              <wp:inline distT="0" distB="0" distL="0" distR="0">
                <wp:extent cx="1984211" cy="729205"/>
                <wp:effectExtent l="0" t="0" r="0" b="0"/>
                <wp:docPr id="1" name="Рисунок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Рисунок 2"/>
                        <pic:cNvPicPr>
                          <a:picLocks noChangeAspect="1"/>
                        </pic:cNvPicPr>
                      </pic:nvPicPr>
                      <pic:blipFill>
                        <a:blip r:embed="rId8"/>
                        <a:stretch/>
                      </pic:blipFill>
                      <pic:spPr bwMode="auto">
                        <a:xfrm>
                          <a:off x="0" y="0"/>
                          <a:ext cx="2045546" cy="751746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 xmlns:w15="http://schemas.microsoft.com/office/word/2012/wordml" xmlns:a="http://schemas.openxmlformats.org/drawingml/2006/main"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mso-wrap-distance-left:0.0pt;mso-wrap-distance-top:0.0pt;mso-wrap-distance-right:0.0pt;mso-wrap-distance-bottom:0.0pt;width:156.2pt;height:57.4pt;" stroked="false">
                <v:path textboxrect="0,0,0,0"/>
                <v:imagedata r:id="rId9" o:title=""/>
              </v:shape>
            </w:pict>
          </mc:Fallback>
        </mc:AlternateContent>
      </w:r>
      <w:r>
        <w:t xml:space="preserve">                                                                                                                                        </w:t>
      </w:r>
    </w:p>
    <w:p w:rsidR="00A26F16" w:rsidRDefault="00A26F16">
      <w:pPr>
        <w:pStyle w:val="af9"/>
      </w:pPr>
    </w:p>
    <w:p w:rsidR="00E73DFA" w:rsidRDefault="00E73DFA" w:rsidP="00E73DFA">
      <w:pPr>
        <w:ind w:firstLine="709"/>
        <w:jc w:val="center"/>
        <w:rPr>
          <w:b/>
          <w:color w:val="000000"/>
          <w:sz w:val="28"/>
          <w:szCs w:val="28"/>
          <w:shd w:val="clear" w:color="auto" w:fill="FFFFFF"/>
        </w:rPr>
      </w:pPr>
    </w:p>
    <w:p w:rsidR="00E73DFA" w:rsidRDefault="00E73DFA" w:rsidP="00E73DFA">
      <w:pPr>
        <w:ind w:firstLine="709"/>
        <w:jc w:val="right"/>
        <w:rPr>
          <w:b/>
          <w:color w:val="000000"/>
          <w:sz w:val="28"/>
          <w:szCs w:val="28"/>
          <w:shd w:val="clear" w:color="auto" w:fill="FFFFFF"/>
        </w:rPr>
      </w:pPr>
      <w:r w:rsidRPr="000E7433">
        <w:rPr>
          <w:rFonts w:ascii="Times New Roman" w:hAnsi="Times New Roman" w:cs="Times New Roman"/>
          <w:b/>
          <w:bCs/>
          <w:sz w:val="32"/>
          <w:szCs w:val="32"/>
        </w:rPr>
        <w:t>ПРЕСС-РЕЛИЗ</w:t>
      </w:r>
    </w:p>
    <w:p w:rsidR="00F14018" w:rsidRDefault="00F14018" w:rsidP="002D0027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</w:p>
    <w:p w:rsidR="00A73A68" w:rsidRDefault="00A73A68" w:rsidP="00A73A68">
      <w:pPr>
        <w:pStyle w:val="af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70FD8">
        <w:rPr>
          <w:rFonts w:ascii="Times New Roman" w:hAnsi="Times New Roman" w:cs="Times New Roman"/>
          <w:b/>
          <w:sz w:val="28"/>
          <w:szCs w:val="28"/>
        </w:rPr>
        <w:t xml:space="preserve">В день защиты детей сотрудники </w:t>
      </w:r>
      <w:proofErr w:type="gramStart"/>
      <w:r w:rsidRPr="00B70FD8">
        <w:rPr>
          <w:rFonts w:ascii="Times New Roman" w:hAnsi="Times New Roman" w:cs="Times New Roman"/>
          <w:b/>
          <w:sz w:val="28"/>
          <w:szCs w:val="28"/>
        </w:rPr>
        <w:t>алтайского</w:t>
      </w:r>
      <w:proofErr w:type="gramEnd"/>
      <w:r w:rsidRPr="00B70FD8">
        <w:rPr>
          <w:rFonts w:ascii="Times New Roman" w:hAnsi="Times New Roman" w:cs="Times New Roman"/>
          <w:b/>
          <w:sz w:val="28"/>
          <w:szCs w:val="28"/>
        </w:rPr>
        <w:t xml:space="preserve"> Росреестра раздали </w:t>
      </w:r>
    </w:p>
    <w:p w:rsidR="00A73A68" w:rsidRPr="00B70FD8" w:rsidRDefault="00A73A68" w:rsidP="00A73A68">
      <w:pPr>
        <w:pStyle w:val="af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70FD8">
        <w:rPr>
          <w:rFonts w:ascii="Times New Roman" w:hAnsi="Times New Roman" w:cs="Times New Roman"/>
          <w:b/>
          <w:sz w:val="28"/>
          <w:szCs w:val="28"/>
        </w:rPr>
        <w:t xml:space="preserve">около </w:t>
      </w:r>
      <w:r>
        <w:rPr>
          <w:rFonts w:ascii="Times New Roman" w:hAnsi="Times New Roman" w:cs="Times New Roman"/>
          <w:b/>
          <w:sz w:val="28"/>
          <w:szCs w:val="28"/>
        </w:rPr>
        <w:t>500</w:t>
      </w:r>
      <w:r w:rsidRPr="00B70FD8">
        <w:rPr>
          <w:rFonts w:ascii="Times New Roman" w:hAnsi="Times New Roman" w:cs="Times New Roman"/>
          <w:b/>
          <w:sz w:val="28"/>
          <w:szCs w:val="28"/>
        </w:rPr>
        <w:t xml:space="preserve"> информационных </w:t>
      </w:r>
      <w:r>
        <w:rPr>
          <w:rFonts w:ascii="Times New Roman" w:hAnsi="Times New Roman" w:cs="Times New Roman"/>
          <w:b/>
          <w:sz w:val="28"/>
          <w:szCs w:val="28"/>
        </w:rPr>
        <w:t>памяток</w:t>
      </w:r>
      <w:r w:rsidRPr="00B70FD8">
        <w:rPr>
          <w:rFonts w:ascii="Times New Roman" w:hAnsi="Times New Roman" w:cs="Times New Roman"/>
          <w:b/>
          <w:sz w:val="28"/>
          <w:szCs w:val="28"/>
        </w:rPr>
        <w:t xml:space="preserve"> родителям</w:t>
      </w:r>
      <w:r>
        <w:rPr>
          <w:rFonts w:ascii="Times New Roman" w:hAnsi="Times New Roman" w:cs="Times New Roman"/>
          <w:b/>
          <w:sz w:val="28"/>
          <w:szCs w:val="28"/>
        </w:rPr>
        <w:t xml:space="preserve"> о правах несовершеннолетних в сфере недвижимости</w:t>
      </w:r>
    </w:p>
    <w:p w:rsidR="00A73A68" w:rsidRPr="00B70FD8" w:rsidRDefault="00A73A68" w:rsidP="00A73A68">
      <w:pPr>
        <w:pStyle w:val="af9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A73A68" w:rsidRDefault="00A73A68" w:rsidP="00A73A68">
      <w:pPr>
        <w:pStyle w:val="af9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 июня в день защиты детей сотрудники алтайского Росреестра раздавали родителям информационные памятки, а детям дарили шары и сладости.</w:t>
      </w:r>
    </w:p>
    <w:p w:rsidR="00A73A68" w:rsidRDefault="00A73A68" w:rsidP="00A73A68">
      <w:pPr>
        <w:pStyle w:val="af9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Pr="00680F0B">
        <w:rPr>
          <w:rFonts w:ascii="Times New Roman" w:hAnsi="Times New Roman" w:cs="Times New Roman"/>
          <w:sz w:val="28"/>
          <w:szCs w:val="28"/>
        </w:rPr>
        <w:t>Росреестр</w:t>
      </w:r>
      <w:proofErr w:type="spellEnd"/>
      <w:r w:rsidRPr="00680F0B">
        <w:rPr>
          <w:rFonts w:ascii="Times New Roman" w:hAnsi="Times New Roman" w:cs="Times New Roman"/>
          <w:sz w:val="28"/>
          <w:szCs w:val="28"/>
        </w:rPr>
        <w:t xml:space="preserve"> уделяет большое внимание тому, чтобы соблюдались права несовершеннолетних в сфере распоряжения имуществом. Сейчас, например, мы проводим Всероссийскую неделю правовой помощи детям, в рамках которой рассказываем вам о том, какие действия с недвижимостью в интересах подрастающего поколения можно совершать, а какие нет</w:t>
      </w:r>
      <w:r>
        <w:rPr>
          <w:rFonts w:ascii="Times New Roman" w:hAnsi="Times New Roman" w:cs="Times New Roman"/>
          <w:sz w:val="28"/>
          <w:szCs w:val="28"/>
        </w:rPr>
        <w:t>», - комментирует руководитель регионального ведомства Юрий Калашников</w:t>
      </w:r>
      <w:r w:rsidRPr="00680F0B">
        <w:rPr>
          <w:rFonts w:ascii="Times New Roman" w:hAnsi="Times New Roman" w:cs="Times New Roman"/>
          <w:sz w:val="28"/>
          <w:szCs w:val="28"/>
        </w:rPr>
        <w:t>.</w:t>
      </w:r>
    </w:p>
    <w:p w:rsidR="00A73A68" w:rsidRPr="00680F0B" w:rsidRDefault="00A73A68" w:rsidP="00A73A68">
      <w:pPr>
        <w:pStyle w:val="af9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«</w:t>
      </w:r>
      <w:r w:rsidRPr="00680F0B">
        <w:rPr>
          <w:rFonts w:ascii="Times New Roman" w:hAnsi="Times New Roman" w:cs="Times New Roman"/>
          <w:sz w:val="28"/>
          <w:szCs w:val="28"/>
        </w:rPr>
        <w:t>Подрастающее поколение – наше главное богатство, это наша радость и будущая опора, которую мы должны любить всем сердцем и защищать всеми силами</w:t>
      </w:r>
      <w:r>
        <w:rPr>
          <w:rFonts w:ascii="Times New Roman" w:hAnsi="Times New Roman" w:cs="Times New Roman"/>
          <w:sz w:val="28"/>
          <w:szCs w:val="28"/>
        </w:rPr>
        <w:t xml:space="preserve">. Очень приятно, что </w:t>
      </w:r>
      <w:proofErr w:type="spellStart"/>
      <w:r>
        <w:rPr>
          <w:rFonts w:ascii="Times New Roman" w:hAnsi="Times New Roman" w:cs="Times New Roman"/>
          <w:sz w:val="28"/>
          <w:szCs w:val="28"/>
        </w:rPr>
        <w:t>Росреестром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проводится такая акция», - говорит Тищенко Людмила Ивановна, бабушка Софии, с которой она пришла сегодня в парк на праздник. </w:t>
      </w:r>
    </w:p>
    <w:p w:rsidR="00A73A68" w:rsidRDefault="00A73A68" w:rsidP="00A73A68">
      <w:pPr>
        <w:pStyle w:val="af9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 итогам первых дней </w:t>
      </w:r>
      <w:r w:rsidRPr="00786832">
        <w:rPr>
          <w:rFonts w:ascii="Times New Roman" w:hAnsi="Times New Roman" w:cs="Times New Roman"/>
          <w:sz w:val="28"/>
          <w:szCs w:val="28"/>
        </w:rPr>
        <w:t>проведения Всероссийской недели правовой помощи детям Алтайский край вошел в топ регионов</w:t>
      </w:r>
      <w:r>
        <w:rPr>
          <w:rFonts w:ascii="Times New Roman" w:hAnsi="Times New Roman" w:cs="Times New Roman"/>
          <w:sz w:val="28"/>
          <w:szCs w:val="28"/>
        </w:rPr>
        <w:t xml:space="preserve"> по количеству консультаций в сфере недвижимости</w:t>
      </w:r>
      <w:r w:rsidRPr="00786832">
        <w:rPr>
          <w:rFonts w:ascii="Times New Roman" w:hAnsi="Times New Roman" w:cs="Times New Roman"/>
          <w:sz w:val="28"/>
          <w:szCs w:val="28"/>
        </w:rPr>
        <w:t>.</w:t>
      </w:r>
    </w:p>
    <w:p w:rsidR="00A73A68" w:rsidRDefault="00A73A68" w:rsidP="00A73A68">
      <w:pPr>
        <w:pStyle w:val="af9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Вопросы, с которыми родители обратились в </w:t>
      </w:r>
      <w:proofErr w:type="spellStart"/>
      <w:r>
        <w:rPr>
          <w:rFonts w:ascii="Times New Roman" w:hAnsi="Times New Roman" w:cs="Times New Roman"/>
          <w:sz w:val="28"/>
          <w:szCs w:val="28"/>
        </w:rPr>
        <w:t>Росреестр</w:t>
      </w:r>
      <w:proofErr w:type="spellEnd"/>
      <w:r>
        <w:rPr>
          <w:rFonts w:ascii="Times New Roman" w:hAnsi="Times New Roman" w:cs="Times New Roman"/>
          <w:sz w:val="28"/>
          <w:szCs w:val="28"/>
        </w:rPr>
        <w:t>:</w:t>
      </w:r>
    </w:p>
    <w:p w:rsidR="00A73A68" w:rsidRPr="0003512E" w:rsidRDefault="00A73A68" w:rsidP="00A73A68">
      <w:pPr>
        <w:pStyle w:val="af9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03512E">
        <w:rPr>
          <w:rFonts w:ascii="Times New Roman" w:hAnsi="Times New Roman" w:cs="Times New Roman"/>
          <w:sz w:val="28"/>
          <w:szCs w:val="28"/>
        </w:rPr>
        <w:t xml:space="preserve">вопрос: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03512E">
        <w:rPr>
          <w:rFonts w:ascii="Times New Roman" w:hAnsi="Times New Roman" w:cs="Times New Roman"/>
          <w:sz w:val="28"/>
          <w:szCs w:val="28"/>
        </w:rPr>
        <w:t>Требуется ли нотариальное удостоверение сделки, если одна из сторон несовершеннолетние?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03512E">
        <w:rPr>
          <w:rFonts w:ascii="Times New Roman" w:hAnsi="Times New Roman" w:cs="Times New Roman"/>
          <w:sz w:val="28"/>
          <w:szCs w:val="28"/>
        </w:rPr>
        <w:t xml:space="preserve">                    </w:t>
      </w:r>
    </w:p>
    <w:p w:rsidR="00A73A68" w:rsidRDefault="00A73A68" w:rsidP="00A73A68">
      <w:pPr>
        <w:pStyle w:val="af9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3512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</w:t>
      </w:r>
      <w:r w:rsidRPr="0003512E">
        <w:rPr>
          <w:rFonts w:ascii="Times New Roman" w:hAnsi="Times New Roman" w:cs="Times New Roman"/>
          <w:sz w:val="28"/>
          <w:szCs w:val="28"/>
        </w:rPr>
        <w:t xml:space="preserve">твет: </w:t>
      </w:r>
      <w:r>
        <w:rPr>
          <w:rFonts w:ascii="Times New Roman" w:hAnsi="Times New Roman" w:cs="Times New Roman"/>
          <w:sz w:val="28"/>
          <w:szCs w:val="28"/>
        </w:rPr>
        <w:t>«О</w:t>
      </w:r>
      <w:r w:rsidRPr="0003512E">
        <w:rPr>
          <w:rFonts w:ascii="Times New Roman" w:hAnsi="Times New Roman" w:cs="Times New Roman"/>
          <w:sz w:val="28"/>
          <w:szCs w:val="28"/>
        </w:rPr>
        <w:t>бязательное требование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3512E">
        <w:rPr>
          <w:rFonts w:ascii="Times New Roman" w:hAnsi="Times New Roman" w:cs="Times New Roman"/>
          <w:sz w:val="28"/>
          <w:szCs w:val="28"/>
        </w:rPr>
        <w:t>- обязательное нотариальное удостоверение договора купли-продажи, если собственником либо участником недвижимого имущества является несовершеннолетний.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3512E">
        <w:rPr>
          <w:rFonts w:ascii="Times New Roman" w:hAnsi="Times New Roman" w:cs="Times New Roman"/>
          <w:sz w:val="28"/>
          <w:szCs w:val="28"/>
        </w:rPr>
        <w:t>Несоблюдение нотариальной формы  сделки влечет ее ничтожность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03512E">
        <w:rPr>
          <w:rFonts w:ascii="Times New Roman" w:hAnsi="Times New Roman" w:cs="Times New Roman"/>
          <w:sz w:val="28"/>
          <w:szCs w:val="28"/>
        </w:rPr>
        <w:t xml:space="preserve">.    </w:t>
      </w:r>
    </w:p>
    <w:p w:rsidR="00A73A68" w:rsidRDefault="00A73A68" w:rsidP="00A73A68">
      <w:pPr>
        <w:pStyle w:val="af9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вопрос: «Т</w:t>
      </w:r>
      <w:r w:rsidRPr="001D365B">
        <w:rPr>
          <w:rFonts w:ascii="Times New Roman" w:hAnsi="Times New Roman" w:cs="Times New Roman"/>
          <w:sz w:val="28"/>
          <w:szCs w:val="28"/>
        </w:rPr>
        <w:t xml:space="preserve">ри года назад, втроем, с мужем и ребенком, купили дом </w:t>
      </w:r>
      <w:r>
        <w:rPr>
          <w:rFonts w:ascii="Times New Roman" w:hAnsi="Times New Roman" w:cs="Times New Roman"/>
          <w:sz w:val="28"/>
          <w:szCs w:val="28"/>
        </w:rPr>
        <w:br/>
      </w:r>
      <w:r w:rsidRPr="001D365B">
        <w:rPr>
          <w:rFonts w:ascii="Times New Roman" w:hAnsi="Times New Roman" w:cs="Times New Roman"/>
          <w:sz w:val="28"/>
          <w:szCs w:val="28"/>
        </w:rPr>
        <w:t xml:space="preserve">с земельным участком (по 1/3 доле каждому). Объекты недвижимости в ипотеке </w:t>
      </w:r>
      <w:r>
        <w:rPr>
          <w:rFonts w:ascii="Times New Roman" w:hAnsi="Times New Roman" w:cs="Times New Roman"/>
          <w:sz w:val="28"/>
          <w:szCs w:val="28"/>
        </w:rPr>
        <w:br/>
      </w:r>
      <w:r w:rsidRPr="001D365B">
        <w:rPr>
          <w:rFonts w:ascii="Times New Roman" w:hAnsi="Times New Roman" w:cs="Times New Roman"/>
          <w:sz w:val="28"/>
          <w:szCs w:val="28"/>
        </w:rPr>
        <w:t xml:space="preserve">у банка. Сейчас в семье появился второй </w:t>
      </w:r>
      <w:proofErr w:type="gramStart"/>
      <w:r w:rsidRPr="001D365B">
        <w:rPr>
          <w:rFonts w:ascii="Times New Roman" w:hAnsi="Times New Roman" w:cs="Times New Roman"/>
          <w:sz w:val="28"/>
          <w:szCs w:val="28"/>
        </w:rPr>
        <w:t>ребенок</w:t>
      </w:r>
      <w:proofErr w:type="gramEnd"/>
      <w:r w:rsidRPr="001D365B">
        <w:rPr>
          <w:rFonts w:ascii="Times New Roman" w:hAnsi="Times New Roman" w:cs="Times New Roman"/>
          <w:sz w:val="28"/>
          <w:szCs w:val="28"/>
        </w:rPr>
        <w:t xml:space="preserve"> и мы хотели бы, чтобы у него была своя доля в данном объекте</w:t>
      </w:r>
      <w:r>
        <w:rPr>
          <w:rFonts w:ascii="Times New Roman" w:hAnsi="Times New Roman" w:cs="Times New Roman"/>
          <w:sz w:val="28"/>
          <w:szCs w:val="28"/>
        </w:rPr>
        <w:t>».</w:t>
      </w:r>
    </w:p>
    <w:p w:rsidR="00A73A68" w:rsidRPr="00786832" w:rsidRDefault="00A73A68" w:rsidP="00A73A68">
      <w:pPr>
        <w:pStyle w:val="af9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ответ: «</w:t>
      </w:r>
      <w:r w:rsidRPr="001D365B">
        <w:rPr>
          <w:rFonts w:ascii="Times New Roman" w:hAnsi="Times New Roman" w:cs="Times New Roman"/>
          <w:sz w:val="28"/>
          <w:szCs w:val="28"/>
        </w:rPr>
        <w:t xml:space="preserve">Да, материнский капитал можно использовать на приобретение жилья, а также на погашение ипотеки или ее части. Долю ребенку можно выделить по соглашению сторон, исходя из равенства долей в праве собственности. Поскольку сособственником квартиры является несовершеннолетний ребенок, наличие согласия органа опеки обязательно. Также необходимо получить согласие </w:t>
      </w:r>
      <w:r w:rsidRPr="001D365B">
        <w:rPr>
          <w:rFonts w:ascii="Times New Roman" w:hAnsi="Times New Roman" w:cs="Times New Roman"/>
          <w:sz w:val="28"/>
          <w:szCs w:val="28"/>
        </w:rPr>
        <w:lastRenderedPageBreak/>
        <w:t>залогодержателя. Такой договор либо соглашение об определении долей подлежит обязательному нотариальному удостоверению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1D365B">
        <w:rPr>
          <w:rFonts w:ascii="Times New Roman" w:hAnsi="Times New Roman" w:cs="Times New Roman"/>
          <w:sz w:val="28"/>
          <w:szCs w:val="28"/>
        </w:rPr>
        <w:t>.</w:t>
      </w:r>
    </w:p>
    <w:p w:rsidR="00A73A68" w:rsidRDefault="00A73A68" w:rsidP="00A73A68">
      <w:pPr>
        <w:rPr>
          <w:sz w:val="28"/>
          <w:szCs w:val="28"/>
        </w:rPr>
      </w:pPr>
    </w:p>
    <w:p w:rsidR="00A73A68" w:rsidRPr="000E7433" w:rsidRDefault="00A73A68" w:rsidP="00A73A68">
      <w:pPr>
        <w:spacing w:after="0" w:line="240" w:lineRule="auto"/>
        <w:jc w:val="both"/>
        <w:rPr>
          <w:rFonts w:ascii="Times New Roman" w:hAnsi="Times New Roman" w:cs="Times New Roman"/>
          <w:b/>
          <w:noProof/>
          <w:lang w:eastAsia="sk-SK"/>
        </w:rPr>
      </w:pPr>
      <w:r w:rsidRPr="000E7433">
        <w:rPr>
          <w:rFonts w:ascii="Times New Roman" w:hAnsi="Times New Roman" w:cs="Times New Roman"/>
          <w:b/>
          <w:noProof/>
          <w:lang w:eastAsia="sk-SK"/>
        </w:rPr>
        <w:t>Об Управлении Росреестра по Алтайскому краю</w:t>
      </w:r>
    </w:p>
    <w:p w:rsidR="00A73A68" w:rsidRPr="000E7433" w:rsidRDefault="00A73A68" w:rsidP="00A73A68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  <w:lang w:eastAsia="ru-RU"/>
        </w:rPr>
      </w:pPr>
      <w:proofErr w:type="gramStart"/>
      <w:r w:rsidRPr="000E7433">
        <w:rPr>
          <w:rFonts w:ascii="Times New Roman" w:hAnsi="Times New Roman" w:cs="Times New Roman"/>
          <w:sz w:val="18"/>
          <w:szCs w:val="18"/>
        </w:rPr>
        <w:t>Управление Федеральной службы государственной регистрации, кадастра и картографии по Алтайскому краю (Управление Росреестра по Алтайскому краю) является территориальным органом Федеральной службы государственной регистрации, кадастра и картографии (</w:t>
      </w:r>
      <w:proofErr w:type="spellStart"/>
      <w:r w:rsidRPr="000E7433">
        <w:rPr>
          <w:rFonts w:ascii="Times New Roman" w:hAnsi="Times New Roman" w:cs="Times New Roman"/>
          <w:sz w:val="18"/>
          <w:szCs w:val="18"/>
        </w:rPr>
        <w:t>Росреестр</w:t>
      </w:r>
      <w:proofErr w:type="spellEnd"/>
      <w:r w:rsidRPr="000E7433">
        <w:rPr>
          <w:rFonts w:ascii="Times New Roman" w:hAnsi="Times New Roman" w:cs="Times New Roman"/>
          <w:sz w:val="18"/>
          <w:szCs w:val="18"/>
        </w:rPr>
        <w:t>), осуществляющим функции по государственной регистрации прав на недвижимое имущество и сделок с ним, по оказанию государственных услуг в сфере осуществления государственного кадастрового учета недвижимого имущества, землеустройства, государственного мониторинга земель, государственной кадастровой оценке, геодезии</w:t>
      </w:r>
      <w:proofErr w:type="gramEnd"/>
      <w:r w:rsidRPr="000E7433">
        <w:rPr>
          <w:rFonts w:ascii="Times New Roman" w:hAnsi="Times New Roman" w:cs="Times New Roman"/>
          <w:sz w:val="18"/>
          <w:szCs w:val="18"/>
        </w:rPr>
        <w:t xml:space="preserve"> и картографии. Выполняет функции по организации единой системы государственного кадастрового учета и государственной регистрации прав на недвижимое имущество, инфраструктуры пространственных данных РФ. Ведомство осуществляет федеральный государственный надзор в области геодезии и картографии, государственный земельный надзор, государственный надзор за деятельностью саморегулируемых организаций кадастровых инженеров, оценщиков и арбитражных управляющих. Подведомственное учреждение Управления - филиал ФГБУ «ФКП Росреестра» по Алтайскому краю. Руководитель Управления</w:t>
      </w:r>
      <w:r w:rsidRPr="000E7433">
        <w:rPr>
          <w:rFonts w:ascii="Times New Roman" w:hAnsi="Times New Roman" w:cs="Times New Roman"/>
          <w:color w:val="000000"/>
          <w:sz w:val="18"/>
          <w:szCs w:val="18"/>
        </w:rPr>
        <w:t>, главный регистратор Алтайского края</w:t>
      </w:r>
      <w:r w:rsidRPr="000E7433">
        <w:rPr>
          <w:rFonts w:ascii="Times New Roman" w:hAnsi="Times New Roman" w:cs="Times New Roman"/>
          <w:sz w:val="18"/>
          <w:szCs w:val="18"/>
        </w:rPr>
        <w:t xml:space="preserve"> - Юрий Викторович Калашников.</w:t>
      </w:r>
    </w:p>
    <w:p w:rsidR="00A73A68" w:rsidRDefault="00A73A68" w:rsidP="00A73A68">
      <w:pPr>
        <w:spacing w:after="0" w:line="240" w:lineRule="auto"/>
        <w:jc w:val="both"/>
        <w:rPr>
          <w:rFonts w:ascii="Times New Roman" w:hAnsi="Times New Roman" w:cs="Times New Roman"/>
          <w:b/>
          <w:noProof/>
          <w:lang w:eastAsia="sk-SK"/>
        </w:rPr>
      </w:pPr>
    </w:p>
    <w:p w:rsidR="00A73A68" w:rsidRPr="000E7433" w:rsidRDefault="00A73A68" w:rsidP="00A73A68">
      <w:pPr>
        <w:spacing w:after="0" w:line="240" w:lineRule="auto"/>
        <w:jc w:val="both"/>
        <w:rPr>
          <w:rFonts w:ascii="Times New Roman" w:hAnsi="Times New Roman" w:cs="Times New Roman"/>
          <w:b/>
          <w:noProof/>
          <w:sz w:val="24"/>
          <w:szCs w:val="24"/>
          <w:lang w:eastAsia="sk-SK"/>
        </w:rPr>
      </w:pPr>
      <w:r w:rsidRPr="000E7433">
        <w:rPr>
          <w:rFonts w:ascii="Times New Roman" w:hAnsi="Times New Roman" w:cs="Times New Roman"/>
          <w:b/>
          <w:noProof/>
          <w:lang w:eastAsia="sk-SK"/>
        </w:rPr>
        <w:t>Контакты для СМИ</w:t>
      </w:r>
    </w:p>
    <w:p w:rsidR="00A73A68" w:rsidRPr="000E7433" w:rsidRDefault="00A73A68" w:rsidP="00A73A68">
      <w:pPr>
        <w:pStyle w:val="aff2"/>
        <w:spacing w:before="0" w:beforeAutospacing="0" w:after="0" w:afterAutospacing="0"/>
        <w:jc w:val="both"/>
        <w:rPr>
          <w:rFonts w:eastAsia="Calibri"/>
          <w:sz w:val="20"/>
          <w:szCs w:val="20"/>
          <w:lang w:eastAsia="en-US"/>
        </w:rPr>
      </w:pPr>
      <w:r w:rsidRPr="000E7433">
        <w:rPr>
          <w:rFonts w:eastAsia="Calibri"/>
          <w:sz w:val="20"/>
          <w:szCs w:val="20"/>
          <w:lang w:eastAsia="en-US"/>
        </w:rPr>
        <w:t>Пресс-служба Управления Росреестра по Алтайскому краю</w:t>
      </w:r>
    </w:p>
    <w:p w:rsidR="00A73A68" w:rsidRPr="000E7433" w:rsidRDefault="00A73A68" w:rsidP="00A73A68">
      <w:pPr>
        <w:pStyle w:val="aff2"/>
        <w:spacing w:before="0" w:beforeAutospacing="0" w:after="0" w:afterAutospacing="0"/>
        <w:jc w:val="both"/>
        <w:rPr>
          <w:sz w:val="20"/>
          <w:szCs w:val="20"/>
          <w:shd w:val="clear" w:color="auto" w:fill="FFFFFF"/>
        </w:rPr>
      </w:pPr>
      <w:r w:rsidRPr="000E7433">
        <w:rPr>
          <w:rFonts w:eastAsia="Calibri"/>
          <w:sz w:val="20"/>
          <w:szCs w:val="20"/>
          <w:lang w:eastAsia="en-US"/>
        </w:rPr>
        <w:t xml:space="preserve">Рыбальченко Елена +7 </w:t>
      </w:r>
      <w:r w:rsidRPr="000E7433">
        <w:rPr>
          <w:sz w:val="20"/>
          <w:szCs w:val="20"/>
          <w:shd w:val="clear" w:color="auto" w:fill="FFFFFF"/>
        </w:rPr>
        <w:t>(3852) 29 17 33</w:t>
      </w:r>
    </w:p>
    <w:p w:rsidR="00A73A68" w:rsidRPr="000E7433" w:rsidRDefault="007A5B5C" w:rsidP="00A73A68">
      <w:pPr>
        <w:pStyle w:val="aff2"/>
        <w:spacing w:before="0" w:beforeAutospacing="0" w:after="0" w:afterAutospacing="0"/>
        <w:jc w:val="both"/>
        <w:rPr>
          <w:sz w:val="20"/>
          <w:szCs w:val="20"/>
        </w:rPr>
      </w:pPr>
      <w:hyperlink r:id="rId10" w:history="1">
        <w:r w:rsidR="00A73A68" w:rsidRPr="000E7433">
          <w:rPr>
            <w:rStyle w:val="afb"/>
            <w:rFonts w:eastAsia="Calibri"/>
            <w:sz w:val="20"/>
            <w:szCs w:val="20"/>
            <w:shd w:val="clear" w:color="auto" w:fill="FFFFFF"/>
          </w:rPr>
          <w:t>22press_rosreestr@mail.ru</w:t>
        </w:r>
      </w:hyperlink>
    </w:p>
    <w:p w:rsidR="00A73A68" w:rsidRPr="000E7433" w:rsidRDefault="007A5B5C" w:rsidP="00A73A68">
      <w:pPr>
        <w:pStyle w:val="aff2"/>
        <w:spacing w:before="0" w:beforeAutospacing="0" w:after="0" w:afterAutospacing="0"/>
        <w:jc w:val="both"/>
        <w:rPr>
          <w:rStyle w:val="afb"/>
          <w:rFonts w:eastAsia="Calibri"/>
        </w:rPr>
      </w:pPr>
      <w:hyperlink r:id="rId11" w:history="1">
        <w:r w:rsidR="00A73A68" w:rsidRPr="000E7433">
          <w:rPr>
            <w:rStyle w:val="afb"/>
            <w:rFonts w:eastAsia="Calibri"/>
            <w:sz w:val="20"/>
            <w:szCs w:val="20"/>
            <w:shd w:val="clear" w:color="auto" w:fill="FFFFFF"/>
            <w:lang w:val="en-US"/>
          </w:rPr>
          <w:t>www</w:t>
        </w:r>
        <w:r w:rsidR="00A73A68" w:rsidRPr="000E7433">
          <w:rPr>
            <w:rStyle w:val="afb"/>
            <w:rFonts w:eastAsia="Calibri"/>
            <w:sz w:val="20"/>
            <w:szCs w:val="20"/>
            <w:shd w:val="clear" w:color="auto" w:fill="FFFFFF"/>
          </w:rPr>
          <w:t>.</w:t>
        </w:r>
        <w:proofErr w:type="spellStart"/>
        <w:r w:rsidR="00A73A68" w:rsidRPr="000E7433">
          <w:rPr>
            <w:rStyle w:val="afb"/>
            <w:rFonts w:eastAsia="Calibri"/>
            <w:sz w:val="20"/>
            <w:szCs w:val="20"/>
            <w:shd w:val="clear" w:color="auto" w:fill="FFFFFF"/>
            <w:lang w:val="en-US"/>
          </w:rPr>
          <w:t>rosreestr</w:t>
        </w:r>
        <w:proofErr w:type="spellEnd"/>
        <w:r w:rsidR="00A73A68" w:rsidRPr="000E7433">
          <w:rPr>
            <w:rStyle w:val="afb"/>
            <w:rFonts w:eastAsia="Calibri"/>
            <w:sz w:val="20"/>
            <w:szCs w:val="20"/>
            <w:shd w:val="clear" w:color="auto" w:fill="FFFFFF"/>
          </w:rPr>
          <w:t>.</w:t>
        </w:r>
        <w:proofErr w:type="spellStart"/>
        <w:r w:rsidR="00A73A68" w:rsidRPr="000E7433">
          <w:rPr>
            <w:rStyle w:val="afb"/>
            <w:rFonts w:eastAsia="Calibri"/>
            <w:sz w:val="20"/>
            <w:szCs w:val="20"/>
            <w:shd w:val="clear" w:color="auto" w:fill="FFFFFF"/>
            <w:lang w:val="en-US"/>
          </w:rPr>
          <w:t>ru</w:t>
        </w:r>
        <w:proofErr w:type="spellEnd"/>
      </w:hyperlink>
    </w:p>
    <w:p w:rsidR="00A73A68" w:rsidRPr="000E7433" w:rsidRDefault="00A73A68" w:rsidP="00A73A68">
      <w:pPr>
        <w:pStyle w:val="aff2"/>
        <w:spacing w:before="0" w:beforeAutospacing="0" w:after="0" w:afterAutospacing="0"/>
        <w:jc w:val="both"/>
      </w:pPr>
      <w:r w:rsidRPr="000E7433">
        <w:rPr>
          <w:rFonts w:eastAsia="Calibri"/>
          <w:sz w:val="20"/>
          <w:szCs w:val="20"/>
          <w:lang w:eastAsia="en-US"/>
        </w:rPr>
        <w:t>656002, Барнаул, ул. Советская, д. 16</w:t>
      </w:r>
    </w:p>
    <w:p w:rsidR="00F14018" w:rsidRPr="00F14018" w:rsidRDefault="00F14018" w:rsidP="002D0027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sectPr w:rsidR="00F14018" w:rsidRPr="00F14018" w:rsidSect="00E73DFA">
      <w:headerReference w:type="default" r:id="rId12"/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A5B5C" w:rsidRDefault="007A5B5C">
      <w:pPr>
        <w:spacing w:after="0" w:line="240" w:lineRule="auto"/>
      </w:pPr>
      <w:r>
        <w:separator/>
      </w:r>
    </w:p>
  </w:endnote>
  <w:endnote w:type="continuationSeparator" w:id="0">
    <w:p w:rsidR="007A5B5C" w:rsidRDefault="007A5B5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A5B5C" w:rsidRDefault="007A5B5C">
      <w:pPr>
        <w:spacing w:after="0" w:line="240" w:lineRule="auto"/>
      </w:pPr>
      <w:r>
        <w:separator/>
      </w:r>
    </w:p>
  </w:footnote>
  <w:footnote w:type="continuationSeparator" w:id="0">
    <w:p w:rsidR="007A5B5C" w:rsidRDefault="007A5B5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12669240"/>
      <w:docPartObj>
        <w:docPartGallery w:val="Page Numbers (Top of Page)"/>
        <w:docPartUnique/>
      </w:docPartObj>
    </w:sdtPr>
    <w:sdtEndPr/>
    <w:sdtContent>
      <w:p w:rsidR="00E73DFA" w:rsidRDefault="00E73DFA">
        <w:pPr>
          <w:pStyle w:val="a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856ED">
          <w:rPr>
            <w:noProof/>
          </w:rPr>
          <w:t>2</w:t>
        </w:r>
        <w:r>
          <w:fldChar w:fldCharType="end"/>
        </w:r>
      </w:p>
    </w:sdtContent>
  </w:sdt>
  <w:p w:rsidR="00E73DFA" w:rsidRDefault="00E73DFA">
    <w:pPr>
      <w:pStyle w:val="a9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5CA3265"/>
    <w:multiLevelType w:val="hybridMultilevel"/>
    <w:tmpl w:val="0680ADB8"/>
    <w:lvl w:ilvl="0" w:tplc="0ECAA37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D76A226">
      <w:start w:val="1"/>
      <w:numFmt w:val="lowerLetter"/>
      <w:lvlText w:val="%2."/>
      <w:lvlJc w:val="left"/>
      <w:pPr>
        <w:ind w:left="1440" w:hanging="360"/>
      </w:pPr>
    </w:lvl>
    <w:lvl w:ilvl="2" w:tplc="03D67850">
      <w:start w:val="1"/>
      <w:numFmt w:val="lowerRoman"/>
      <w:lvlText w:val="%3."/>
      <w:lvlJc w:val="right"/>
      <w:pPr>
        <w:ind w:left="2160" w:hanging="180"/>
      </w:pPr>
    </w:lvl>
    <w:lvl w:ilvl="3" w:tplc="FA5E9F38">
      <w:start w:val="1"/>
      <w:numFmt w:val="decimal"/>
      <w:lvlText w:val="%4."/>
      <w:lvlJc w:val="left"/>
      <w:pPr>
        <w:ind w:left="2880" w:hanging="360"/>
      </w:pPr>
    </w:lvl>
    <w:lvl w:ilvl="4" w:tplc="C4125BD6">
      <w:start w:val="1"/>
      <w:numFmt w:val="lowerLetter"/>
      <w:lvlText w:val="%5."/>
      <w:lvlJc w:val="left"/>
      <w:pPr>
        <w:ind w:left="3600" w:hanging="360"/>
      </w:pPr>
    </w:lvl>
    <w:lvl w:ilvl="5" w:tplc="B8040598">
      <w:start w:val="1"/>
      <w:numFmt w:val="lowerRoman"/>
      <w:lvlText w:val="%6."/>
      <w:lvlJc w:val="right"/>
      <w:pPr>
        <w:ind w:left="4320" w:hanging="180"/>
      </w:pPr>
    </w:lvl>
    <w:lvl w:ilvl="6" w:tplc="D38096E2">
      <w:start w:val="1"/>
      <w:numFmt w:val="decimal"/>
      <w:lvlText w:val="%7."/>
      <w:lvlJc w:val="left"/>
      <w:pPr>
        <w:ind w:left="5040" w:hanging="360"/>
      </w:pPr>
    </w:lvl>
    <w:lvl w:ilvl="7" w:tplc="FD32F3AA">
      <w:start w:val="1"/>
      <w:numFmt w:val="lowerLetter"/>
      <w:lvlText w:val="%8."/>
      <w:lvlJc w:val="left"/>
      <w:pPr>
        <w:ind w:left="5760" w:hanging="360"/>
      </w:pPr>
    </w:lvl>
    <w:lvl w:ilvl="8" w:tplc="800CF520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5CB77BD"/>
    <w:multiLevelType w:val="hybridMultilevel"/>
    <w:tmpl w:val="D778C210"/>
    <w:lvl w:ilvl="0" w:tplc="99DAEAB4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 w:themeColor="text1"/>
      </w:rPr>
    </w:lvl>
    <w:lvl w:ilvl="1" w:tplc="9BC20BF6">
      <w:start w:val="1"/>
      <w:numFmt w:val="lowerLetter"/>
      <w:lvlText w:val="%2."/>
      <w:lvlJc w:val="left"/>
      <w:pPr>
        <w:ind w:left="1440" w:hanging="360"/>
      </w:pPr>
    </w:lvl>
    <w:lvl w:ilvl="2" w:tplc="4C8605D2">
      <w:start w:val="1"/>
      <w:numFmt w:val="lowerRoman"/>
      <w:lvlText w:val="%3."/>
      <w:lvlJc w:val="right"/>
      <w:pPr>
        <w:ind w:left="2160" w:hanging="180"/>
      </w:pPr>
    </w:lvl>
    <w:lvl w:ilvl="3" w:tplc="C5D65752">
      <w:start w:val="1"/>
      <w:numFmt w:val="decimal"/>
      <w:lvlText w:val="%4."/>
      <w:lvlJc w:val="left"/>
      <w:pPr>
        <w:ind w:left="2880" w:hanging="360"/>
      </w:pPr>
    </w:lvl>
    <w:lvl w:ilvl="4" w:tplc="6EBA7944">
      <w:start w:val="1"/>
      <w:numFmt w:val="lowerLetter"/>
      <w:lvlText w:val="%5."/>
      <w:lvlJc w:val="left"/>
      <w:pPr>
        <w:ind w:left="3600" w:hanging="360"/>
      </w:pPr>
    </w:lvl>
    <w:lvl w:ilvl="5" w:tplc="81867E3C">
      <w:start w:val="1"/>
      <w:numFmt w:val="lowerRoman"/>
      <w:lvlText w:val="%6."/>
      <w:lvlJc w:val="right"/>
      <w:pPr>
        <w:ind w:left="4320" w:hanging="180"/>
      </w:pPr>
    </w:lvl>
    <w:lvl w:ilvl="6" w:tplc="5E98652C">
      <w:start w:val="1"/>
      <w:numFmt w:val="decimal"/>
      <w:lvlText w:val="%7."/>
      <w:lvlJc w:val="left"/>
      <w:pPr>
        <w:ind w:left="5040" w:hanging="360"/>
      </w:pPr>
    </w:lvl>
    <w:lvl w:ilvl="7" w:tplc="E11C7B0E">
      <w:start w:val="1"/>
      <w:numFmt w:val="lowerLetter"/>
      <w:lvlText w:val="%8."/>
      <w:lvlJc w:val="left"/>
      <w:pPr>
        <w:ind w:left="5760" w:hanging="360"/>
      </w:pPr>
    </w:lvl>
    <w:lvl w:ilvl="8" w:tplc="40ECFEA4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3A146D9"/>
    <w:multiLevelType w:val="hybridMultilevel"/>
    <w:tmpl w:val="58AC2F1C"/>
    <w:lvl w:ilvl="0" w:tplc="C322A72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BECA804">
      <w:start w:val="1"/>
      <w:numFmt w:val="lowerLetter"/>
      <w:lvlText w:val="%2."/>
      <w:lvlJc w:val="left"/>
      <w:pPr>
        <w:ind w:left="1647" w:hanging="360"/>
      </w:pPr>
    </w:lvl>
    <w:lvl w:ilvl="2" w:tplc="1B54C508">
      <w:start w:val="1"/>
      <w:numFmt w:val="lowerRoman"/>
      <w:lvlText w:val="%3."/>
      <w:lvlJc w:val="right"/>
      <w:pPr>
        <w:ind w:left="2367" w:hanging="180"/>
      </w:pPr>
    </w:lvl>
    <w:lvl w:ilvl="3" w:tplc="6714EF9C">
      <w:start w:val="1"/>
      <w:numFmt w:val="decimal"/>
      <w:lvlText w:val="%4."/>
      <w:lvlJc w:val="left"/>
      <w:pPr>
        <w:ind w:left="3087" w:hanging="360"/>
      </w:pPr>
    </w:lvl>
    <w:lvl w:ilvl="4" w:tplc="ECEC9DDC">
      <w:start w:val="1"/>
      <w:numFmt w:val="lowerLetter"/>
      <w:lvlText w:val="%5."/>
      <w:lvlJc w:val="left"/>
      <w:pPr>
        <w:ind w:left="3807" w:hanging="360"/>
      </w:pPr>
    </w:lvl>
    <w:lvl w:ilvl="5" w:tplc="7646FED8">
      <w:start w:val="1"/>
      <w:numFmt w:val="lowerRoman"/>
      <w:lvlText w:val="%6."/>
      <w:lvlJc w:val="right"/>
      <w:pPr>
        <w:ind w:left="4527" w:hanging="180"/>
      </w:pPr>
    </w:lvl>
    <w:lvl w:ilvl="6" w:tplc="607C12A0">
      <w:start w:val="1"/>
      <w:numFmt w:val="decimal"/>
      <w:lvlText w:val="%7."/>
      <w:lvlJc w:val="left"/>
      <w:pPr>
        <w:ind w:left="5247" w:hanging="360"/>
      </w:pPr>
    </w:lvl>
    <w:lvl w:ilvl="7" w:tplc="06EAA194">
      <w:start w:val="1"/>
      <w:numFmt w:val="lowerLetter"/>
      <w:lvlText w:val="%8."/>
      <w:lvlJc w:val="left"/>
      <w:pPr>
        <w:ind w:left="5967" w:hanging="360"/>
      </w:pPr>
    </w:lvl>
    <w:lvl w:ilvl="8" w:tplc="49C47196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753E2AFA"/>
    <w:multiLevelType w:val="hybridMultilevel"/>
    <w:tmpl w:val="D5189E34"/>
    <w:lvl w:ilvl="0" w:tplc="B1EE8AB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D9504AA0">
      <w:start w:val="1"/>
      <w:numFmt w:val="lowerLetter"/>
      <w:lvlText w:val="%2."/>
      <w:lvlJc w:val="left"/>
      <w:pPr>
        <w:ind w:left="1440" w:hanging="360"/>
      </w:pPr>
    </w:lvl>
    <w:lvl w:ilvl="2" w:tplc="33EA293C">
      <w:start w:val="1"/>
      <w:numFmt w:val="lowerRoman"/>
      <w:lvlText w:val="%3."/>
      <w:lvlJc w:val="right"/>
      <w:pPr>
        <w:ind w:left="2160" w:hanging="180"/>
      </w:pPr>
    </w:lvl>
    <w:lvl w:ilvl="3" w:tplc="44B66934">
      <w:start w:val="1"/>
      <w:numFmt w:val="decimal"/>
      <w:lvlText w:val="%4."/>
      <w:lvlJc w:val="left"/>
      <w:pPr>
        <w:ind w:left="2880" w:hanging="360"/>
      </w:pPr>
    </w:lvl>
    <w:lvl w:ilvl="4" w:tplc="81FC2406">
      <w:start w:val="1"/>
      <w:numFmt w:val="lowerLetter"/>
      <w:lvlText w:val="%5."/>
      <w:lvlJc w:val="left"/>
      <w:pPr>
        <w:ind w:left="3600" w:hanging="360"/>
      </w:pPr>
    </w:lvl>
    <w:lvl w:ilvl="5" w:tplc="459001E2">
      <w:start w:val="1"/>
      <w:numFmt w:val="lowerRoman"/>
      <w:lvlText w:val="%6."/>
      <w:lvlJc w:val="right"/>
      <w:pPr>
        <w:ind w:left="4320" w:hanging="180"/>
      </w:pPr>
    </w:lvl>
    <w:lvl w:ilvl="6" w:tplc="B52E5AFC">
      <w:start w:val="1"/>
      <w:numFmt w:val="decimal"/>
      <w:lvlText w:val="%7."/>
      <w:lvlJc w:val="left"/>
      <w:pPr>
        <w:ind w:left="5040" w:hanging="360"/>
      </w:pPr>
    </w:lvl>
    <w:lvl w:ilvl="7" w:tplc="C7C8E500">
      <w:start w:val="1"/>
      <w:numFmt w:val="lowerLetter"/>
      <w:lvlText w:val="%8."/>
      <w:lvlJc w:val="left"/>
      <w:pPr>
        <w:ind w:left="5760" w:hanging="360"/>
      </w:pPr>
    </w:lvl>
    <w:lvl w:ilvl="8" w:tplc="B50E7966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8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6F16"/>
    <w:rsid w:val="002D0027"/>
    <w:rsid w:val="003A2E25"/>
    <w:rsid w:val="005D4C1E"/>
    <w:rsid w:val="00732A6D"/>
    <w:rsid w:val="00777C49"/>
    <w:rsid w:val="007856ED"/>
    <w:rsid w:val="007A5B5C"/>
    <w:rsid w:val="008058C0"/>
    <w:rsid w:val="00A26F16"/>
    <w:rsid w:val="00A73A68"/>
    <w:rsid w:val="00B42CBF"/>
    <w:rsid w:val="00DB2461"/>
    <w:rsid w:val="00DB44C8"/>
    <w:rsid w:val="00E73DFA"/>
    <w:rsid w:val="00F14018"/>
    <w:rsid w:val="00F73F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4">
    <w:name w:val="Название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 w:after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pPr>
      <w:spacing w:line="276" w:lineRule="auto"/>
    </w:pPr>
    <w:rPr>
      <w:b/>
      <w:bCs/>
      <w:color w:val="5B9BD5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styleId="ae">
    <w:name w:val="Table Grid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8A2D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472C4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  <w:insideV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68A2D8" w:themeColor="accent1" w:themeTint="EA"/>
          <w:left w:val="single" w:sz="4" w:space="0" w:color="68A2D8" w:themeColor="accent1" w:themeTint="EA"/>
          <w:bottom w:val="single" w:sz="4" w:space="0" w:color="68A2D8" w:themeColor="accent1" w:themeTint="EA"/>
          <w:right w:val="single" w:sz="4" w:space="0" w:color="68A2D8" w:themeColor="accent1" w:themeTint="EA"/>
        </w:tcBorders>
        <w:shd w:val="clear" w:color="68A2D8" w:themeColor="accent1" w:themeTint="EA" w:fill="68A2D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  <w:shd w:val="clear" w:color="4472C4" w:themeColor="accent5" w:fill="4472C4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1" w:themeTint="34" w:fill="DDEAF6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1" w:fill="5B9BD5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band1Vert">
      <w:tblPr/>
      <w:tcPr>
        <w:shd w:val="clear" w:color="B3D0EB" w:themeColor="accent1" w:themeTint="75" w:fill="B3D0EB" w:themeFill="accent1" w:themeFillTint="75"/>
      </w:tcPr>
    </w:tblStylePr>
    <w:tblStylePr w:type="band1Horz">
      <w:tblPr/>
      <w:tcPr>
        <w:shd w:val="clear" w:color="B3D0EB" w:themeColor="accent1" w:themeTint="75" w:fill="B3D0EB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5" w:themeTint="34" w:fill="D8E2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5" w:fill="4472C4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band1Vert">
      <w:tblPr/>
      <w:tcPr>
        <w:shd w:val="clear" w:color="A9BEE4" w:themeColor="accent5" w:themeTint="75" w:fill="A9BEE4" w:themeFill="accent5" w:themeFillTint="75"/>
      </w:tcPr>
    </w:tblStylePr>
    <w:tblStylePr w:type="band1Horz">
      <w:tblPr/>
      <w:tcPr>
        <w:shd w:val="clear" w:color="A9BEE4" w:themeColor="accent5" w:themeTint="75" w:fill="A9BE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CCCEA" w:themeColor="accent1" w:themeTint="80"/>
        <w:left w:val="single" w:sz="4" w:space="0" w:color="ACCCEA" w:themeColor="accent1" w:themeTint="80"/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CCCEA" w:themeColor="accent1" w:themeTint="80" w:themeShade="95"/>
      </w:rPr>
      <w:tblPr/>
      <w:tcPr>
        <w:tcBorders>
          <w:bottom w:val="single" w:sz="12" w:space="0" w:color="ACCCEA" w:themeColor="accent1" w:themeTint="80"/>
        </w:tcBorders>
      </w:tcPr>
    </w:tblStylePr>
    <w:tblStylePr w:type="lastRow">
      <w:rPr>
        <w:b/>
        <w:color w:val="ACCCEA" w:themeColor="accent1" w:themeTint="80" w:themeShade="95"/>
      </w:rPr>
    </w:tblStylePr>
    <w:tblStylePr w:type="firstCol">
      <w:rPr>
        <w:b/>
        <w:color w:val="ACCCEA" w:themeColor="accent1" w:themeTint="80" w:themeShade="95"/>
      </w:rPr>
    </w:tblStylePr>
    <w:tblStylePr w:type="lastCol">
      <w:rPr>
        <w:b/>
        <w:color w:val="ACCCEA" w:themeColor="accent1" w:themeTint="80" w:themeShade="95"/>
      </w:r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CCCEA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single" w:sz="4" w:space="0" w:color="ACCCEA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CCCEA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CCCEA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5A5A5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A5A5A5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5AFDD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single" w:sz="4" w:space="0" w:color="95AFDD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5AFDD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auto"/>
          <w:left w:val="single" w:sz="4" w:space="0" w:color="95AFDD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DD394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single" w:sz="4" w:space="0" w:color="ADD394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bottom w:val="single" w:sz="4" w:space="0" w:color="A2C6E7" w:themeColor="accent1" w:themeTint="90"/>
        <w:insideH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bottom w:val="single" w:sz="4" w:space="0" w:color="95AFDD" w:themeColor="accent5" w:themeTint="90"/>
        <w:insideH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5B9BD5" w:themeColor="accent1"/>
          <w:bottom w:val="single" w:sz="4" w:space="0" w:color="5B9BD5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8DA9DB" w:themeColor="accent5" w:themeTint="9A"/>
        <w:left w:val="single" w:sz="4" w:space="0" w:color="8DA9DB" w:themeColor="accent5" w:themeTint="9A"/>
        <w:bottom w:val="single" w:sz="4" w:space="0" w:color="8DA9DB" w:themeColor="accent5" w:themeTint="9A"/>
        <w:right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DA9DB" w:themeColor="accent5" w:themeTint="9A" w:fill="8DA9DB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8DA9DB" w:themeColor="accent5" w:themeTint="9A"/>
          <w:right w:val="single" w:sz="4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DA9DB" w:themeColor="accent5" w:themeTint="9A"/>
          <w:bottom w:val="single" w:sz="4" w:space="0" w:color="8DA9DB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5B9BD5" w:themeColor="accent1"/>
        <w:left w:val="single" w:sz="32" w:space="0" w:color="5B9BD5" w:themeColor="accent1"/>
        <w:bottom w:val="single" w:sz="32" w:space="0" w:color="5B9BD5" w:themeColor="accent1"/>
        <w:right w:val="single" w:sz="32" w:space="0" w:color="5B9BD5" w:themeColor="accent1"/>
      </w:tblBorders>
      <w:shd w:val="clear" w:color="5B9BD5" w:themeColor="accent1" w:fill="5B9BD5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5B9BD5" w:themeColor="accent1"/>
          <w:bottom w:val="single" w:sz="12" w:space="0" w:color="FFFFFF" w:themeColor="light1"/>
        </w:tcBorders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5B9BD5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B9BD5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5B9BD5" w:themeColor="accent1" w:fill="5B9BD5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8DA9DB" w:themeColor="accent5" w:themeTint="9A"/>
        <w:left w:val="single" w:sz="32" w:space="0" w:color="8DA9DB" w:themeColor="accent5" w:themeTint="9A"/>
        <w:bottom w:val="single" w:sz="32" w:space="0" w:color="8DA9DB" w:themeColor="accent5" w:themeTint="9A"/>
        <w:right w:val="single" w:sz="32" w:space="0" w:color="8DA9DB" w:themeColor="accent5" w:themeTint="9A"/>
      </w:tblBorders>
      <w:shd w:val="clear" w:color="8DA9DB" w:themeColor="accent5" w:themeTint="9A" w:fill="8DA9DB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8DA9DB" w:themeColor="accent5" w:themeTint="9A"/>
          <w:bottom w:val="single" w:sz="12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8DA9D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DA9D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5B9BD5" w:themeColor="accent1"/>
        <w:bottom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45A8D" w:themeColor="accent1" w:themeShade="95"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color w:val="245A8D" w:themeColor="accent1" w:themeShade="95"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  <w:color w:val="245A8D" w:themeColor="accent1" w:themeShade="95"/>
      </w:rPr>
    </w:tblStylePr>
    <w:tblStylePr w:type="lastCol">
      <w:rPr>
        <w:b/>
        <w:color w:val="245A8D" w:themeColor="accent1" w:themeShade="95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bottom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9C9C9" w:themeColor="accent3" w:themeTint="98"/>
        <w:bottom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bottom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8DA9DB" w:themeColor="accent5" w:themeTint="9A"/>
        <w:bottom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8DA9DB" w:themeColor="accent5" w:themeTint="9A" w:themeShade="95"/>
      </w:rPr>
      <w:tblPr/>
      <w:tcPr>
        <w:tcBorders>
          <w:bottom w:val="single" w:sz="4" w:space="0" w:color="8DA9DB" w:themeColor="accent5" w:themeTint="9A"/>
        </w:tcBorders>
      </w:tcPr>
    </w:tblStylePr>
    <w:tblStylePr w:type="lastRow">
      <w:rPr>
        <w:b/>
        <w:color w:val="8DA9DB" w:themeColor="accent5" w:themeTint="9A" w:themeShade="95"/>
      </w:rPr>
      <w:tblPr/>
      <w:tcPr>
        <w:tcBorders>
          <w:top w:val="single" w:sz="4" w:space="0" w:color="8DA9DB" w:themeColor="accent5" w:themeTint="9A"/>
        </w:tcBorders>
      </w:tcPr>
    </w:tblStylePr>
    <w:tblStylePr w:type="firstCol">
      <w:rPr>
        <w:b/>
        <w:color w:val="8DA9DB" w:themeColor="accent5" w:themeTint="9A" w:themeShade="95"/>
      </w:rPr>
    </w:tblStylePr>
    <w:tblStylePr w:type="lastCol">
      <w:rPr>
        <w:b/>
        <w:color w:val="8DA9DB" w:themeColor="accent5" w:themeTint="9A" w:themeShade="95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9D08E" w:themeColor="accent6" w:themeTint="98"/>
        <w:bottom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5B9BD5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single" w:sz="4" w:space="0" w:color="5B9BD5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5B9BD5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single" w:sz="4" w:space="0" w:color="5B9BD5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9C9C9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9C9C9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8DA9DB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single" w:sz="4" w:space="0" w:color="8DA9DB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8DA9DB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8DA9DB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9D08E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A9D08E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45A8D" w:themeColor="accent1" w:themeShade="95"/>
        <w:left w:val="single" w:sz="4" w:space="0" w:color="245A8D" w:themeColor="accent1" w:themeShade="95"/>
        <w:bottom w:val="single" w:sz="4" w:space="0" w:color="245A8D" w:themeColor="accent1" w:themeShade="95"/>
        <w:right w:val="single" w:sz="4" w:space="0" w:color="245A8D" w:themeColor="accent1" w:themeShade="95"/>
        <w:insideH w:val="single" w:sz="4" w:space="0" w:color="245A8D" w:themeColor="accent1" w:themeShade="95"/>
        <w:insideV w:val="single" w:sz="4" w:space="0" w:color="245A8D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54175" w:themeColor="accent5" w:themeShade="95"/>
        <w:left w:val="single" w:sz="4" w:space="0" w:color="254175" w:themeColor="accent5" w:themeShade="95"/>
        <w:bottom w:val="single" w:sz="4" w:space="0" w:color="254175" w:themeColor="accent5" w:themeShade="95"/>
        <w:right w:val="single" w:sz="4" w:space="0" w:color="254175" w:themeColor="accent5" w:themeShade="95"/>
        <w:insideH w:val="single" w:sz="4" w:space="0" w:color="254175" w:themeColor="accent5" w:themeShade="95"/>
        <w:insideV w:val="single" w:sz="4" w:space="0" w:color="254175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5B9BD5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8DA9DB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8DA9DB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styleId="af7">
    <w:name w:val="Balloon Text"/>
    <w:basedOn w:val="a"/>
    <w:link w:val="af8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8">
    <w:name w:val="Текст выноски Знак"/>
    <w:basedOn w:val="a0"/>
    <w:link w:val="af7"/>
    <w:uiPriority w:val="99"/>
    <w:semiHidden/>
    <w:rPr>
      <w:rFonts w:ascii="Segoe UI" w:hAnsi="Segoe UI" w:cs="Segoe UI"/>
      <w:sz w:val="18"/>
      <w:szCs w:val="18"/>
    </w:rPr>
  </w:style>
  <w:style w:type="paragraph" w:styleId="af9">
    <w:name w:val="No Spacing"/>
    <w:uiPriority w:val="1"/>
    <w:qFormat/>
    <w:pPr>
      <w:spacing w:after="0" w:line="240" w:lineRule="auto"/>
    </w:pPr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afa">
    <w:name w:val="List Paragraph"/>
    <w:basedOn w:val="a"/>
    <w:uiPriority w:val="34"/>
    <w:qFormat/>
    <w:pPr>
      <w:spacing w:line="256" w:lineRule="auto"/>
      <w:ind w:left="720"/>
      <w:contextualSpacing/>
    </w:pPr>
  </w:style>
  <w:style w:type="character" w:styleId="afb">
    <w:name w:val="Hyperlink"/>
    <w:basedOn w:val="a0"/>
    <w:uiPriority w:val="99"/>
    <w:unhideWhenUsed/>
    <w:rPr>
      <w:color w:val="0563C1" w:themeColor="hyperlink"/>
      <w:u w:val="single"/>
    </w:rPr>
  </w:style>
  <w:style w:type="character" w:styleId="afc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d">
    <w:name w:val="annotation text"/>
    <w:basedOn w:val="a"/>
    <w:link w:val="afe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afe">
    <w:name w:val="Текст примечания Знак"/>
    <w:basedOn w:val="a0"/>
    <w:link w:val="afd"/>
    <w:uiPriority w:val="99"/>
    <w:semiHidden/>
    <w:rPr>
      <w:sz w:val="20"/>
      <w:szCs w:val="20"/>
    </w:rPr>
  </w:style>
  <w:style w:type="paragraph" w:styleId="aff">
    <w:name w:val="annotation subject"/>
    <w:basedOn w:val="afd"/>
    <w:next w:val="afd"/>
    <w:link w:val="aff0"/>
    <w:uiPriority w:val="99"/>
    <w:semiHidden/>
    <w:unhideWhenUsed/>
    <w:rPr>
      <w:b/>
      <w:bCs/>
    </w:rPr>
  </w:style>
  <w:style w:type="character" w:customStyle="1" w:styleId="aff0">
    <w:name w:val="Тема примечания Знак"/>
    <w:basedOn w:val="afe"/>
    <w:link w:val="aff"/>
    <w:uiPriority w:val="99"/>
    <w:semiHidden/>
    <w:rPr>
      <w:b/>
      <w:bCs/>
      <w:sz w:val="20"/>
      <w:szCs w:val="20"/>
    </w:rPr>
  </w:style>
  <w:style w:type="paragraph" w:customStyle="1" w:styleId="westernmrcssattr">
    <w:name w:val="western_mr_css_attr"/>
    <w:basedOn w:val="a"/>
    <w:rsid w:val="00E73D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f1">
    <w:name w:val="Strong"/>
    <w:basedOn w:val="a0"/>
    <w:uiPriority w:val="22"/>
    <w:qFormat/>
    <w:rsid w:val="00E73DFA"/>
    <w:rPr>
      <w:b/>
      <w:bCs/>
    </w:rPr>
  </w:style>
  <w:style w:type="character" w:customStyle="1" w:styleId="js-phone-number">
    <w:name w:val="js-phone-number"/>
    <w:basedOn w:val="a0"/>
    <w:rsid w:val="00E73DFA"/>
  </w:style>
  <w:style w:type="paragraph" w:styleId="aff2">
    <w:name w:val="Normal (Web)"/>
    <w:basedOn w:val="a"/>
    <w:uiPriority w:val="99"/>
    <w:semiHidden/>
    <w:unhideWhenUsed/>
    <w:rsid w:val="00E73D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f3">
    <w:name w:val="FollowedHyperlink"/>
    <w:basedOn w:val="a0"/>
    <w:uiPriority w:val="99"/>
    <w:semiHidden/>
    <w:unhideWhenUsed/>
    <w:rsid w:val="00777C49"/>
    <w:rPr>
      <w:color w:val="954F72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4">
    <w:name w:val="Название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 w:after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pPr>
      <w:spacing w:line="276" w:lineRule="auto"/>
    </w:pPr>
    <w:rPr>
      <w:b/>
      <w:bCs/>
      <w:color w:val="5B9BD5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styleId="ae">
    <w:name w:val="Table Grid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8A2D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472C4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  <w:insideV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68A2D8" w:themeColor="accent1" w:themeTint="EA"/>
          <w:left w:val="single" w:sz="4" w:space="0" w:color="68A2D8" w:themeColor="accent1" w:themeTint="EA"/>
          <w:bottom w:val="single" w:sz="4" w:space="0" w:color="68A2D8" w:themeColor="accent1" w:themeTint="EA"/>
          <w:right w:val="single" w:sz="4" w:space="0" w:color="68A2D8" w:themeColor="accent1" w:themeTint="EA"/>
        </w:tcBorders>
        <w:shd w:val="clear" w:color="68A2D8" w:themeColor="accent1" w:themeTint="EA" w:fill="68A2D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  <w:shd w:val="clear" w:color="4472C4" w:themeColor="accent5" w:fill="4472C4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1" w:themeTint="34" w:fill="DDEAF6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1" w:fill="5B9BD5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band1Vert">
      <w:tblPr/>
      <w:tcPr>
        <w:shd w:val="clear" w:color="B3D0EB" w:themeColor="accent1" w:themeTint="75" w:fill="B3D0EB" w:themeFill="accent1" w:themeFillTint="75"/>
      </w:tcPr>
    </w:tblStylePr>
    <w:tblStylePr w:type="band1Horz">
      <w:tblPr/>
      <w:tcPr>
        <w:shd w:val="clear" w:color="B3D0EB" w:themeColor="accent1" w:themeTint="75" w:fill="B3D0EB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5" w:themeTint="34" w:fill="D8E2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5" w:fill="4472C4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band1Vert">
      <w:tblPr/>
      <w:tcPr>
        <w:shd w:val="clear" w:color="A9BEE4" w:themeColor="accent5" w:themeTint="75" w:fill="A9BEE4" w:themeFill="accent5" w:themeFillTint="75"/>
      </w:tcPr>
    </w:tblStylePr>
    <w:tblStylePr w:type="band1Horz">
      <w:tblPr/>
      <w:tcPr>
        <w:shd w:val="clear" w:color="A9BEE4" w:themeColor="accent5" w:themeTint="75" w:fill="A9BE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CCCEA" w:themeColor="accent1" w:themeTint="80"/>
        <w:left w:val="single" w:sz="4" w:space="0" w:color="ACCCEA" w:themeColor="accent1" w:themeTint="80"/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CCCEA" w:themeColor="accent1" w:themeTint="80" w:themeShade="95"/>
      </w:rPr>
      <w:tblPr/>
      <w:tcPr>
        <w:tcBorders>
          <w:bottom w:val="single" w:sz="12" w:space="0" w:color="ACCCEA" w:themeColor="accent1" w:themeTint="80"/>
        </w:tcBorders>
      </w:tcPr>
    </w:tblStylePr>
    <w:tblStylePr w:type="lastRow">
      <w:rPr>
        <w:b/>
        <w:color w:val="ACCCEA" w:themeColor="accent1" w:themeTint="80" w:themeShade="95"/>
      </w:rPr>
    </w:tblStylePr>
    <w:tblStylePr w:type="firstCol">
      <w:rPr>
        <w:b/>
        <w:color w:val="ACCCEA" w:themeColor="accent1" w:themeTint="80" w:themeShade="95"/>
      </w:rPr>
    </w:tblStylePr>
    <w:tblStylePr w:type="lastCol">
      <w:rPr>
        <w:b/>
        <w:color w:val="ACCCEA" w:themeColor="accent1" w:themeTint="80" w:themeShade="95"/>
      </w:r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CCCEA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single" w:sz="4" w:space="0" w:color="ACCCEA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CCCEA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CCCEA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5A5A5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A5A5A5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5AFDD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single" w:sz="4" w:space="0" w:color="95AFDD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5AFDD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auto"/>
          <w:left w:val="single" w:sz="4" w:space="0" w:color="95AFDD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DD394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single" w:sz="4" w:space="0" w:color="ADD394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bottom w:val="single" w:sz="4" w:space="0" w:color="A2C6E7" w:themeColor="accent1" w:themeTint="90"/>
        <w:insideH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bottom w:val="single" w:sz="4" w:space="0" w:color="95AFDD" w:themeColor="accent5" w:themeTint="90"/>
        <w:insideH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5B9BD5" w:themeColor="accent1"/>
          <w:bottom w:val="single" w:sz="4" w:space="0" w:color="5B9BD5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8DA9DB" w:themeColor="accent5" w:themeTint="9A"/>
        <w:left w:val="single" w:sz="4" w:space="0" w:color="8DA9DB" w:themeColor="accent5" w:themeTint="9A"/>
        <w:bottom w:val="single" w:sz="4" w:space="0" w:color="8DA9DB" w:themeColor="accent5" w:themeTint="9A"/>
        <w:right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DA9DB" w:themeColor="accent5" w:themeTint="9A" w:fill="8DA9DB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8DA9DB" w:themeColor="accent5" w:themeTint="9A"/>
          <w:right w:val="single" w:sz="4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DA9DB" w:themeColor="accent5" w:themeTint="9A"/>
          <w:bottom w:val="single" w:sz="4" w:space="0" w:color="8DA9DB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5B9BD5" w:themeColor="accent1"/>
        <w:left w:val="single" w:sz="32" w:space="0" w:color="5B9BD5" w:themeColor="accent1"/>
        <w:bottom w:val="single" w:sz="32" w:space="0" w:color="5B9BD5" w:themeColor="accent1"/>
        <w:right w:val="single" w:sz="32" w:space="0" w:color="5B9BD5" w:themeColor="accent1"/>
      </w:tblBorders>
      <w:shd w:val="clear" w:color="5B9BD5" w:themeColor="accent1" w:fill="5B9BD5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5B9BD5" w:themeColor="accent1"/>
          <w:bottom w:val="single" w:sz="12" w:space="0" w:color="FFFFFF" w:themeColor="light1"/>
        </w:tcBorders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5B9BD5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B9BD5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5B9BD5" w:themeColor="accent1" w:fill="5B9BD5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8DA9DB" w:themeColor="accent5" w:themeTint="9A"/>
        <w:left w:val="single" w:sz="32" w:space="0" w:color="8DA9DB" w:themeColor="accent5" w:themeTint="9A"/>
        <w:bottom w:val="single" w:sz="32" w:space="0" w:color="8DA9DB" w:themeColor="accent5" w:themeTint="9A"/>
        <w:right w:val="single" w:sz="32" w:space="0" w:color="8DA9DB" w:themeColor="accent5" w:themeTint="9A"/>
      </w:tblBorders>
      <w:shd w:val="clear" w:color="8DA9DB" w:themeColor="accent5" w:themeTint="9A" w:fill="8DA9DB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8DA9DB" w:themeColor="accent5" w:themeTint="9A"/>
          <w:bottom w:val="single" w:sz="12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8DA9D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DA9D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5B9BD5" w:themeColor="accent1"/>
        <w:bottom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45A8D" w:themeColor="accent1" w:themeShade="95"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color w:val="245A8D" w:themeColor="accent1" w:themeShade="95"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  <w:color w:val="245A8D" w:themeColor="accent1" w:themeShade="95"/>
      </w:rPr>
    </w:tblStylePr>
    <w:tblStylePr w:type="lastCol">
      <w:rPr>
        <w:b/>
        <w:color w:val="245A8D" w:themeColor="accent1" w:themeShade="95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bottom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9C9C9" w:themeColor="accent3" w:themeTint="98"/>
        <w:bottom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bottom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8DA9DB" w:themeColor="accent5" w:themeTint="9A"/>
        <w:bottom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8DA9DB" w:themeColor="accent5" w:themeTint="9A" w:themeShade="95"/>
      </w:rPr>
      <w:tblPr/>
      <w:tcPr>
        <w:tcBorders>
          <w:bottom w:val="single" w:sz="4" w:space="0" w:color="8DA9DB" w:themeColor="accent5" w:themeTint="9A"/>
        </w:tcBorders>
      </w:tcPr>
    </w:tblStylePr>
    <w:tblStylePr w:type="lastRow">
      <w:rPr>
        <w:b/>
        <w:color w:val="8DA9DB" w:themeColor="accent5" w:themeTint="9A" w:themeShade="95"/>
      </w:rPr>
      <w:tblPr/>
      <w:tcPr>
        <w:tcBorders>
          <w:top w:val="single" w:sz="4" w:space="0" w:color="8DA9DB" w:themeColor="accent5" w:themeTint="9A"/>
        </w:tcBorders>
      </w:tcPr>
    </w:tblStylePr>
    <w:tblStylePr w:type="firstCol">
      <w:rPr>
        <w:b/>
        <w:color w:val="8DA9DB" w:themeColor="accent5" w:themeTint="9A" w:themeShade="95"/>
      </w:rPr>
    </w:tblStylePr>
    <w:tblStylePr w:type="lastCol">
      <w:rPr>
        <w:b/>
        <w:color w:val="8DA9DB" w:themeColor="accent5" w:themeTint="9A" w:themeShade="95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9D08E" w:themeColor="accent6" w:themeTint="98"/>
        <w:bottom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5B9BD5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single" w:sz="4" w:space="0" w:color="5B9BD5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5B9BD5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single" w:sz="4" w:space="0" w:color="5B9BD5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9C9C9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9C9C9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8DA9DB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single" w:sz="4" w:space="0" w:color="8DA9DB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8DA9DB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8DA9DB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9D08E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A9D08E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45A8D" w:themeColor="accent1" w:themeShade="95"/>
        <w:left w:val="single" w:sz="4" w:space="0" w:color="245A8D" w:themeColor="accent1" w:themeShade="95"/>
        <w:bottom w:val="single" w:sz="4" w:space="0" w:color="245A8D" w:themeColor="accent1" w:themeShade="95"/>
        <w:right w:val="single" w:sz="4" w:space="0" w:color="245A8D" w:themeColor="accent1" w:themeShade="95"/>
        <w:insideH w:val="single" w:sz="4" w:space="0" w:color="245A8D" w:themeColor="accent1" w:themeShade="95"/>
        <w:insideV w:val="single" w:sz="4" w:space="0" w:color="245A8D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54175" w:themeColor="accent5" w:themeShade="95"/>
        <w:left w:val="single" w:sz="4" w:space="0" w:color="254175" w:themeColor="accent5" w:themeShade="95"/>
        <w:bottom w:val="single" w:sz="4" w:space="0" w:color="254175" w:themeColor="accent5" w:themeShade="95"/>
        <w:right w:val="single" w:sz="4" w:space="0" w:color="254175" w:themeColor="accent5" w:themeShade="95"/>
        <w:insideH w:val="single" w:sz="4" w:space="0" w:color="254175" w:themeColor="accent5" w:themeShade="95"/>
        <w:insideV w:val="single" w:sz="4" w:space="0" w:color="254175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5B9BD5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8DA9DB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8DA9DB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styleId="af7">
    <w:name w:val="Balloon Text"/>
    <w:basedOn w:val="a"/>
    <w:link w:val="af8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8">
    <w:name w:val="Текст выноски Знак"/>
    <w:basedOn w:val="a0"/>
    <w:link w:val="af7"/>
    <w:uiPriority w:val="99"/>
    <w:semiHidden/>
    <w:rPr>
      <w:rFonts w:ascii="Segoe UI" w:hAnsi="Segoe UI" w:cs="Segoe UI"/>
      <w:sz w:val="18"/>
      <w:szCs w:val="18"/>
    </w:rPr>
  </w:style>
  <w:style w:type="paragraph" w:styleId="af9">
    <w:name w:val="No Spacing"/>
    <w:uiPriority w:val="1"/>
    <w:qFormat/>
    <w:pPr>
      <w:spacing w:after="0" w:line="240" w:lineRule="auto"/>
    </w:pPr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afa">
    <w:name w:val="List Paragraph"/>
    <w:basedOn w:val="a"/>
    <w:uiPriority w:val="34"/>
    <w:qFormat/>
    <w:pPr>
      <w:spacing w:line="256" w:lineRule="auto"/>
      <w:ind w:left="720"/>
      <w:contextualSpacing/>
    </w:pPr>
  </w:style>
  <w:style w:type="character" w:styleId="afb">
    <w:name w:val="Hyperlink"/>
    <w:basedOn w:val="a0"/>
    <w:uiPriority w:val="99"/>
    <w:unhideWhenUsed/>
    <w:rPr>
      <w:color w:val="0563C1" w:themeColor="hyperlink"/>
      <w:u w:val="single"/>
    </w:rPr>
  </w:style>
  <w:style w:type="character" w:styleId="afc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d">
    <w:name w:val="annotation text"/>
    <w:basedOn w:val="a"/>
    <w:link w:val="afe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afe">
    <w:name w:val="Текст примечания Знак"/>
    <w:basedOn w:val="a0"/>
    <w:link w:val="afd"/>
    <w:uiPriority w:val="99"/>
    <w:semiHidden/>
    <w:rPr>
      <w:sz w:val="20"/>
      <w:szCs w:val="20"/>
    </w:rPr>
  </w:style>
  <w:style w:type="paragraph" w:styleId="aff">
    <w:name w:val="annotation subject"/>
    <w:basedOn w:val="afd"/>
    <w:next w:val="afd"/>
    <w:link w:val="aff0"/>
    <w:uiPriority w:val="99"/>
    <w:semiHidden/>
    <w:unhideWhenUsed/>
    <w:rPr>
      <w:b/>
      <w:bCs/>
    </w:rPr>
  </w:style>
  <w:style w:type="character" w:customStyle="1" w:styleId="aff0">
    <w:name w:val="Тема примечания Знак"/>
    <w:basedOn w:val="afe"/>
    <w:link w:val="aff"/>
    <w:uiPriority w:val="99"/>
    <w:semiHidden/>
    <w:rPr>
      <w:b/>
      <w:bCs/>
      <w:sz w:val="20"/>
      <w:szCs w:val="20"/>
    </w:rPr>
  </w:style>
  <w:style w:type="paragraph" w:customStyle="1" w:styleId="westernmrcssattr">
    <w:name w:val="western_mr_css_attr"/>
    <w:basedOn w:val="a"/>
    <w:rsid w:val="00E73D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f1">
    <w:name w:val="Strong"/>
    <w:basedOn w:val="a0"/>
    <w:uiPriority w:val="22"/>
    <w:qFormat/>
    <w:rsid w:val="00E73DFA"/>
    <w:rPr>
      <w:b/>
      <w:bCs/>
    </w:rPr>
  </w:style>
  <w:style w:type="character" w:customStyle="1" w:styleId="js-phone-number">
    <w:name w:val="js-phone-number"/>
    <w:basedOn w:val="a0"/>
    <w:rsid w:val="00E73DFA"/>
  </w:style>
  <w:style w:type="paragraph" w:styleId="aff2">
    <w:name w:val="Normal (Web)"/>
    <w:basedOn w:val="a"/>
    <w:uiPriority w:val="99"/>
    <w:semiHidden/>
    <w:unhideWhenUsed/>
    <w:rsid w:val="00E73D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f3">
    <w:name w:val="FollowedHyperlink"/>
    <w:basedOn w:val="a0"/>
    <w:uiPriority w:val="99"/>
    <w:semiHidden/>
    <w:unhideWhenUsed/>
    <w:rsid w:val="00777C49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1402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://www.rosreestr.ru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mailto:22press_rosreestr@mail.ru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10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599</Words>
  <Characters>3417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Пушкарская Диана Дмитриевна</dc:creator>
  <cp:lastModifiedBy>R22REV16011973</cp:lastModifiedBy>
  <cp:revision>2</cp:revision>
  <cp:lastPrinted>2022-06-03T01:32:00Z</cp:lastPrinted>
  <dcterms:created xsi:type="dcterms:W3CDTF">2022-06-03T01:34:00Z</dcterms:created>
  <dcterms:modified xsi:type="dcterms:W3CDTF">2022-06-03T01:34:00Z</dcterms:modified>
</cp:coreProperties>
</file>