
<file path=[Content_Types].xml><?xml version="1.0" encoding="utf-8"?>
<Types xmlns="http://schemas.openxmlformats.org/package/2006/content-types">
  <Default Extension="xlsx" ContentType="application/vnd.openxmlformats-officedocument.spreadsheetml.sheet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theme/themeOverride1.xml" ContentType="application/vnd.openxmlformats-officedocument.themeOverride+xml"/>
  <Override PartName="/word/theme/themeOverride2.xml" ContentType="application/vnd.openxmlformats-officedocument.themeOverride+xml"/>
  <Override PartName="/word/theme/themeOverride3.xml" ContentType="application/vnd.openxmlformats-officedocument.themeOverrid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Совета депутатов Новошипуновского сельсовета </w:t>
      </w:r>
    </w:p>
    <w:p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Краснощёковского района Алтайского края</w:t>
      </w:r>
    </w:p>
    <w:p>
      <w:pPr>
        <w:pStyle w:val="7"/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hAnsi="Times New Roman" w:eastAsia="TimesNewRomanPS-BoldMT" w:cs="Times New Roman"/>
          <w:bCs/>
          <w:sz w:val="28"/>
          <w:szCs w:val="28"/>
        </w:rPr>
      </w:pPr>
    </w:p>
    <w:p>
      <w:pPr>
        <w:pStyle w:val="7"/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hAnsi="Times New Roman" w:eastAsia="TimesNewRomanPS-BoldMT" w:cs="Times New Roman"/>
          <w:bCs/>
          <w:sz w:val="28"/>
          <w:szCs w:val="28"/>
        </w:rPr>
      </w:pPr>
      <w:r>
        <w:rPr>
          <w:rFonts w:ascii="Times New Roman" w:hAnsi="Times New Roman" w:eastAsia="TimesNewRomanPS-BoldMT" w:cs="Times New Roman"/>
          <w:bCs/>
          <w:sz w:val="28"/>
          <w:szCs w:val="28"/>
        </w:rPr>
        <w:t xml:space="preserve">РЕШЕНИЕ </w:t>
      </w:r>
    </w:p>
    <w:p>
      <w:pPr>
        <w:pStyle w:val="7"/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hAnsi="Times New Roman" w:eastAsia="TimesNewRomanPS-BoldMT" w:cs="Times New Roman"/>
          <w:bCs/>
          <w:sz w:val="28"/>
          <w:szCs w:val="28"/>
        </w:rPr>
      </w:pPr>
    </w:p>
    <w:p>
      <w:pPr>
        <w:pStyle w:val="7"/>
        <w:autoSpaceDE w:val="0"/>
        <w:autoSpaceDN w:val="0"/>
        <w:adjustRightInd w:val="0"/>
        <w:spacing w:after="0" w:line="240" w:lineRule="auto"/>
        <w:ind w:left="426"/>
        <w:jc w:val="center"/>
        <w:rPr>
          <w:rFonts w:hint="default" w:ascii="Times New Roman" w:hAnsi="Times New Roman" w:eastAsia="TimesNewRomanPS-BoldMT" w:cs="Times New Roman"/>
          <w:bCs/>
          <w:sz w:val="28"/>
          <w:szCs w:val="28"/>
          <w:lang w:val="ru-RU"/>
        </w:rPr>
      </w:pPr>
      <w:r>
        <w:rPr>
          <w:rFonts w:ascii="Times New Roman" w:hAnsi="Times New Roman" w:eastAsia="TimesNewRomanPS-BoldMT" w:cs="Times New Roman"/>
          <w:bCs/>
          <w:sz w:val="28"/>
          <w:szCs w:val="28"/>
          <w:lang w:val="ru-RU"/>
        </w:rPr>
        <w:t>о</w:t>
      </w:r>
      <w:r>
        <w:rPr>
          <w:rFonts w:ascii="Times New Roman" w:hAnsi="Times New Roman" w:eastAsia="TimesNewRomanPS-BoldMT" w:cs="Times New Roman"/>
          <w:bCs/>
          <w:sz w:val="28"/>
          <w:szCs w:val="28"/>
        </w:rPr>
        <w:t>т</w:t>
      </w:r>
      <w:r>
        <w:rPr>
          <w:rFonts w:hint="default" w:ascii="Times New Roman" w:hAnsi="Times New Roman" w:eastAsia="TimesNewRomanPS-BoldMT" w:cs="Times New Roman"/>
          <w:bCs/>
          <w:sz w:val="28"/>
          <w:szCs w:val="28"/>
          <w:lang w:val="ru-RU"/>
        </w:rPr>
        <w:t xml:space="preserve"> 14 апреля </w:t>
      </w:r>
      <w:r>
        <w:rPr>
          <w:rFonts w:ascii="Times New Roman" w:hAnsi="Times New Roman" w:eastAsia="TimesNewRomanPS-BoldMT" w:cs="Times New Roman"/>
          <w:bCs/>
          <w:sz w:val="28"/>
          <w:szCs w:val="28"/>
        </w:rPr>
        <w:t>202</w:t>
      </w:r>
      <w:r>
        <w:rPr>
          <w:rFonts w:hint="default" w:ascii="Times New Roman" w:hAnsi="Times New Roman" w:eastAsia="TimesNewRomanPS-BoldMT" w:cs="Times New Roman"/>
          <w:bCs/>
          <w:sz w:val="28"/>
          <w:szCs w:val="28"/>
          <w:lang w:val="ru-RU"/>
        </w:rPr>
        <w:t>6</w:t>
      </w:r>
      <w:r>
        <w:rPr>
          <w:rFonts w:ascii="Times New Roman" w:hAnsi="Times New Roman" w:eastAsia="TimesNewRomanPS-BoldMT" w:cs="Times New Roman"/>
          <w:bCs/>
          <w:sz w:val="28"/>
          <w:szCs w:val="28"/>
        </w:rPr>
        <w:t xml:space="preserve"> года                                                                       №</w:t>
      </w:r>
      <w:r>
        <w:rPr>
          <w:rFonts w:hint="default" w:ascii="Times New Roman" w:hAnsi="Times New Roman" w:eastAsia="TimesNewRomanPS-BoldMT" w:cs="Times New Roman"/>
          <w:bCs/>
          <w:sz w:val="28"/>
          <w:szCs w:val="28"/>
          <w:lang w:val="ru-RU"/>
        </w:rPr>
        <w:t>3</w:t>
      </w:r>
    </w:p>
    <w:p>
      <w:pPr>
        <w:pStyle w:val="7"/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hAnsi="Times New Roman" w:eastAsia="TimesNewRomanPS-BoldMT" w:cs="Times New Roman"/>
          <w:bCs/>
          <w:sz w:val="28"/>
          <w:szCs w:val="28"/>
        </w:rPr>
      </w:pPr>
      <w:r>
        <w:rPr>
          <w:rFonts w:ascii="Times New Roman" w:hAnsi="Times New Roman" w:eastAsia="TimesNewRomanPS-BoldMT" w:cs="Times New Roman"/>
          <w:bCs/>
          <w:sz w:val="28"/>
          <w:szCs w:val="28"/>
        </w:rPr>
        <w:t xml:space="preserve">с. Новошипуново </w:t>
      </w:r>
    </w:p>
    <w:p>
      <w:pPr>
        <w:pStyle w:val="7"/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hAnsi="Times New Roman" w:eastAsia="TimesNewRomanPS-BoldMT" w:cs="Times New Roman"/>
          <w:bCs/>
          <w:sz w:val="28"/>
          <w:szCs w:val="28"/>
        </w:rPr>
      </w:pPr>
    </w:p>
    <w:p>
      <w:pPr>
        <w:pStyle w:val="7"/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hAnsi="Times New Roman" w:eastAsia="TimesNewRomanPS-BoldMT" w:cs="Times New Roman"/>
          <w:bCs/>
          <w:sz w:val="28"/>
          <w:szCs w:val="28"/>
        </w:rPr>
      </w:pPr>
    </w:p>
    <w:p>
      <w:pPr>
        <w:pStyle w:val="7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Cs/>
          <w:sz w:val="28"/>
          <w:szCs w:val="28"/>
        </w:rPr>
      </w:pPr>
      <w:r>
        <w:rPr>
          <w:rFonts w:ascii="Times New Roman" w:hAnsi="Times New Roman" w:eastAsia="TimesNewRomanPS-BoldMT" w:cs="Times New Roman"/>
          <w:bCs/>
          <w:sz w:val="28"/>
          <w:szCs w:val="28"/>
        </w:rPr>
        <w:t>Отчёт главы администрации Новошипуновского</w:t>
      </w:r>
    </w:p>
    <w:p>
      <w:pPr>
        <w:pStyle w:val="7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Cs/>
          <w:sz w:val="28"/>
          <w:szCs w:val="28"/>
        </w:rPr>
      </w:pPr>
      <w:r>
        <w:rPr>
          <w:rFonts w:ascii="Times New Roman" w:hAnsi="Times New Roman" w:eastAsia="TimesNewRomanPS-BoldMT" w:cs="Times New Roman"/>
          <w:bCs/>
          <w:sz w:val="28"/>
          <w:szCs w:val="28"/>
        </w:rPr>
        <w:t>сельсовета о деятельности Администрации</w:t>
      </w:r>
    </w:p>
    <w:p>
      <w:pPr>
        <w:pStyle w:val="7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Cs/>
          <w:sz w:val="28"/>
          <w:szCs w:val="28"/>
        </w:rPr>
      </w:pPr>
      <w:r>
        <w:rPr>
          <w:rFonts w:ascii="Times New Roman" w:hAnsi="Times New Roman" w:eastAsia="TimesNewRomanPS-BoldMT" w:cs="Times New Roman"/>
          <w:bCs/>
          <w:sz w:val="28"/>
          <w:szCs w:val="28"/>
        </w:rPr>
        <w:t xml:space="preserve"> Новошипуновского сельсовета Краснощёковского</w:t>
      </w:r>
    </w:p>
    <w:p>
      <w:pPr>
        <w:pStyle w:val="7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Cs/>
          <w:sz w:val="28"/>
          <w:szCs w:val="28"/>
        </w:rPr>
      </w:pPr>
      <w:r>
        <w:rPr>
          <w:rFonts w:ascii="Times New Roman" w:hAnsi="Times New Roman" w:eastAsia="TimesNewRomanPS-BoldMT" w:cs="Times New Roman"/>
          <w:bCs/>
          <w:sz w:val="28"/>
          <w:szCs w:val="28"/>
        </w:rPr>
        <w:t>Района Алтайского края по социально-экономическому</w:t>
      </w:r>
    </w:p>
    <w:p>
      <w:pPr>
        <w:pStyle w:val="7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Cs/>
          <w:sz w:val="28"/>
          <w:szCs w:val="28"/>
        </w:rPr>
      </w:pPr>
      <w:r>
        <w:rPr>
          <w:rFonts w:ascii="Times New Roman" w:hAnsi="Times New Roman" w:eastAsia="TimesNewRomanPS-BoldMT" w:cs="Times New Roman"/>
          <w:bCs/>
          <w:sz w:val="28"/>
          <w:szCs w:val="28"/>
        </w:rPr>
        <w:t xml:space="preserve"> развитию в 202</w:t>
      </w:r>
      <w:r>
        <w:rPr>
          <w:rFonts w:hint="default" w:ascii="Times New Roman" w:hAnsi="Times New Roman" w:eastAsia="TimesNewRomanPS-BoldMT" w:cs="Times New Roman"/>
          <w:bCs/>
          <w:sz w:val="28"/>
          <w:szCs w:val="28"/>
          <w:lang w:val="ru-RU"/>
        </w:rPr>
        <w:t>5</w:t>
      </w:r>
      <w:r>
        <w:rPr>
          <w:rFonts w:ascii="Times New Roman" w:hAnsi="Times New Roman" w:eastAsia="TimesNewRomanPS-BoldMT" w:cs="Times New Roman"/>
          <w:bCs/>
          <w:sz w:val="28"/>
          <w:szCs w:val="28"/>
        </w:rPr>
        <w:t xml:space="preserve"> году и задачах на 202</w:t>
      </w:r>
      <w:r>
        <w:rPr>
          <w:rFonts w:hint="default" w:ascii="Times New Roman" w:hAnsi="Times New Roman" w:eastAsia="TimesNewRomanPS-BoldMT" w:cs="Times New Roman"/>
          <w:bCs/>
          <w:sz w:val="28"/>
          <w:szCs w:val="28"/>
          <w:lang w:val="ru-RU"/>
        </w:rPr>
        <w:t>6</w:t>
      </w:r>
      <w:r>
        <w:rPr>
          <w:rFonts w:ascii="Times New Roman" w:hAnsi="Times New Roman" w:eastAsia="TimesNewRomanPS-BoldMT" w:cs="Times New Roman"/>
          <w:bCs/>
          <w:sz w:val="28"/>
          <w:szCs w:val="28"/>
        </w:rPr>
        <w:t xml:space="preserve"> год.</w:t>
      </w:r>
    </w:p>
    <w:p>
      <w:pPr>
        <w:pStyle w:val="7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Cs/>
          <w:sz w:val="28"/>
          <w:szCs w:val="28"/>
        </w:rPr>
      </w:pPr>
    </w:p>
    <w:p>
      <w:pPr>
        <w:pStyle w:val="7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Cs/>
          <w:sz w:val="28"/>
          <w:szCs w:val="28"/>
        </w:rPr>
      </w:pPr>
      <w:r>
        <w:rPr>
          <w:rFonts w:ascii="Times New Roman" w:hAnsi="Times New Roman" w:eastAsia="TimesNewRomanPS-BoldMT" w:cs="Times New Roman"/>
          <w:bCs/>
          <w:sz w:val="28"/>
          <w:szCs w:val="28"/>
        </w:rPr>
        <w:t xml:space="preserve">В соответствии  с Уставом муниципального образования Новошипуновский сельсовет Краснощёковского района Алтайского края, Совета депутатов Новошипуновского сельсовета </w:t>
      </w:r>
    </w:p>
    <w:p>
      <w:pPr>
        <w:pStyle w:val="7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/>
          <w:bCs/>
          <w:sz w:val="28"/>
          <w:szCs w:val="28"/>
        </w:rPr>
      </w:pPr>
      <w:r>
        <w:rPr>
          <w:rFonts w:ascii="Times New Roman" w:hAnsi="Times New Roman" w:eastAsia="TimesNewRomanPS-BoldMT" w:cs="Times New Roman"/>
          <w:bCs/>
          <w:sz w:val="28"/>
          <w:szCs w:val="28"/>
        </w:rPr>
        <w:t>РЕШИЛ:</w:t>
      </w:r>
    </w:p>
    <w:p>
      <w:pPr>
        <w:pStyle w:val="7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Cs/>
          <w:sz w:val="28"/>
          <w:szCs w:val="28"/>
        </w:rPr>
      </w:pPr>
    </w:p>
    <w:p>
      <w:pPr>
        <w:pStyle w:val="7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Cs/>
          <w:sz w:val="28"/>
          <w:szCs w:val="28"/>
        </w:rPr>
      </w:pPr>
      <w:r>
        <w:rPr>
          <w:rFonts w:ascii="Times New Roman" w:hAnsi="Times New Roman" w:eastAsia="TimesNewRomanPS-BoldMT" w:cs="Times New Roman"/>
          <w:bCs/>
          <w:sz w:val="28"/>
          <w:szCs w:val="28"/>
        </w:rPr>
        <w:t>1. Отчёт главы администрации Новошипуновского сельсовета о деятельности Администрации  Новошипуновского сельсовета Краснощёковского</w:t>
      </w:r>
    </w:p>
    <w:p>
      <w:pPr>
        <w:pStyle w:val="7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Cs/>
          <w:sz w:val="28"/>
          <w:szCs w:val="28"/>
        </w:rPr>
      </w:pPr>
      <w:r>
        <w:rPr>
          <w:rFonts w:ascii="Times New Roman" w:hAnsi="Times New Roman" w:eastAsia="TimesNewRomanPS-BoldMT" w:cs="Times New Roman"/>
          <w:bCs/>
          <w:sz w:val="28"/>
          <w:szCs w:val="28"/>
          <w:lang w:val="ru-RU"/>
        </w:rPr>
        <w:t>р</w:t>
      </w:r>
      <w:r>
        <w:rPr>
          <w:rFonts w:ascii="Times New Roman" w:hAnsi="Times New Roman" w:eastAsia="TimesNewRomanPS-BoldMT" w:cs="Times New Roman"/>
          <w:bCs/>
          <w:sz w:val="28"/>
          <w:szCs w:val="28"/>
        </w:rPr>
        <w:t>айона Алтайского края по социально-экономическому развитию в 202</w:t>
      </w:r>
      <w:r>
        <w:rPr>
          <w:rFonts w:hint="default" w:ascii="Times New Roman" w:hAnsi="Times New Roman" w:eastAsia="TimesNewRomanPS-BoldMT" w:cs="Times New Roman"/>
          <w:bCs/>
          <w:sz w:val="28"/>
          <w:szCs w:val="28"/>
          <w:lang w:val="ru-RU"/>
        </w:rPr>
        <w:t>5</w:t>
      </w:r>
      <w:r>
        <w:rPr>
          <w:rFonts w:ascii="Times New Roman" w:hAnsi="Times New Roman" w:eastAsia="TimesNewRomanPS-BoldMT" w:cs="Times New Roman"/>
          <w:bCs/>
          <w:sz w:val="28"/>
          <w:szCs w:val="28"/>
        </w:rPr>
        <w:t xml:space="preserve"> году и задачах на 202</w:t>
      </w:r>
      <w:r>
        <w:rPr>
          <w:rFonts w:hint="default" w:ascii="Times New Roman" w:hAnsi="Times New Roman" w:eastAsia="TimesNewRomanPS-BoldMT" w:cs="Times New Roman"/>
          <w:bCs/>
          <w:sz w:val="28"/>
          <w:szCs w:val="28"/>
          <w:lang w:val="ru-RU"/>
        </w:rPr>
        <w:t>6</w:t>
      </w:r>
      <w:r>
        <w:rPr>
          <w:rFonts w:ascii="Times New Roman" w:hAnsi="Times New Roman" w:eastAsia="TimesNewRomanPS-BoldMT" w:cs="Times New Roman"/>
          <w:bCs/>
          <w:sz w:val="28"/>
          <w:szCs w:val="28"/>
        </w:rPr>
        <w:t xml:space="preserve"> год принять  к сведению.</w:t>
      </w:r>
    </w:p>
    <w:p>
      <w:pPr>
        <w:jc w:val="center"/>
        <w:rPr>
          <w:rFonts w:ascii="Times New Roman" w:hAnsi="Times New Roman" w:eastAsia="TimesNewRomanPS-BoldMT" w:cs="Times New Roman"/>
          <w:bCs/>
          <w:sz w:val="28"/>
          <w:szCs w:val="28"/>
        </w:rPr>
      </w:pPr>
    </w:p>
    <w:p>
      <w:pPr>
        <w:pStyle w:val="7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Cs/>
          <w:sz w:val="28"/>
          <w:szCs w:val="28"/>
        </w:rPr>
      </w:pPr>
    </w:p>
    <w:p>
      <w:pPr>
        <w:pStyle w:val="7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Cs/>
          <w:sz w:val="28"/>
          <w:szCs w:val="28"/>
        </w:rPr>
      </w:pPr>
    </w:p>
    <w:p>
      <w:pPr>
        <w:pStyle w:val="7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Cs/>
          <w:sz w:val="28"/>
          <w:szCs w:val="28"/>
        </w:rPr>
      </w:pPr>
    </w:p>
    <w:p>
      <w:pPr>
        <w:pStyle w:val="7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Cs/>
          <w:sz w:val="28"/>
          <w:szCs w:val="28"/>
        </w:rPr>
      </w:pPr>
    </w:p>
    <w:p>
      <w:pPr>
        <w:pStyle w:val="7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Cs/>
          <w:sz w:val="28"/>
          <w:szCs w:val="28"/>
        </w:rPr>
      </w:pPr>
    </w:p>
    <w:p>
      <w:pPr>
        <w:pStyle w:val="7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eastAsia="TimesNewRomanPS-BoldMT" w:cs="Times New Roman"/>
          <w:bCs/>
          <w:sz w:val="28"/>
          <w:szCs w:val="28"/>
        </w:rPr>
      </w:pPr>
    </w:p>
    <w:p>
      <w:pPr>
        <w:framePr w:hSpace="180" w:wrap="around" w:vAnchor="margin" w:hAnchor="margin" w:y="1446"/>
        <w:jc w:val="center"/>
        <w:rPr>
          <w:rFonts w:ascii="Times New Roman" w:hAnsi="Times New Roman" w:eastAsia="TimesNewRomanPS-BoldMT" w:cs="Times New Roman"/>
          <w:bCs/>
          <w:sz w:val="28"/>
          <w:szCs w:val="28"/>
        </w:rPr>
      </w:pPr>
    </w:p>
    <w:p>
      <w:pPr>
        <w:pStyle w:val="7"/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hAnsi="Times New Roman" w:eastAsia="TimesNewRomanPS-BoldMT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сельсовета:                    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Е.В. Дроботова</w:t>
      </w:r>
    </w:p>
    <w:p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page"/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</w:rPr>
        <w:t>Администрация Новошипуновского сельсовета Краснощёковского района Алтайского края осуществляет свою деятельность на основе Устава, который регулирует организацию и осуществление местного самоуправления на территории поселения и интересах населения.</w:t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Доходы бюджета Администрации Новошипуновского сельсовета Краснощёковского  района формируются в соответствии с бюджетным законодательством Российской Федерации, законодательством Российской Федерации о налогах и сборах, законодательством Алтайского края о налогах и сборах, нормативно-правовыми актами районного Совета депутатов Краснощёковского района.</w:t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Доходы местных бюджетов формируются за счет собственных доходов и доходов за счет отчислений от федеральных и региональных налогов и сборов, а также неналоговых доходов и поступлений из краевого бюджета.</w:t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Бюджет муниципального образования  </w:t>
      </w:r>
      <w:r>
        <w:rPr>
          <w:rFonts w:ascii="Times New Roman" w:hAnsi="Times New Roman"/>
          <w:color w:val="000000"/>
          <w:sz w:val="28"/>
          <w:szCs w:val="28"/>
        </w:rPr>
        <w:t>Новошипуновский</w:t>
      </w:r>
      <w:r>
        <w:rPr>
          <w:rFonts w:ascii="Times New Roman" w:hAnsi="Times New Roman"/>
          <w:sz w:val="28"/>
          <w:szCs w:val="28"/>
        </w:rPr>
        <w:t xml:space="preserve"> сельсовет утвержден по доходам на 2025 год в сумме  7382710,90 руб., по расходам – 7488517,45  рублей.  </w:t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Фактическое  исполнение бюджета  по доходам в процентном соотношении составляет 101,4 %. </w:t>
      </w:r>
    </w:p>
    <w:p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Дотации бюджетам поселений на выравнивание бюджетной обеспеченности составили  498700,00,00 рублей. </w:t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доходах местного бюджета Администрации Новошипуновского сельсовета преобладает значительная доля финансовой безвозмездной помощи с вышестоящего бюджета. </w:t>
      </w:r>
      <w:r>
        <w:rPr>
          <w:rFonts w:ascii="Times New Roman" w:hAnsi="Times New Roman"/>
          <w:sz w:val="28"/>
          <w:szCs w:val="28"/>
        </w:rPr>
        <w:t>При этом доля поступлений из вышестоящих бюджетов  имеет тенденцию к уменьшению с 4217556,06  руб. в 2025 году до 4354899,00 руб. в 2024 году. Из них поступили межбюджетные трансферты, передаваемые бюджетам поселений на восстановление поврежденных автомобильных дорог,  на очистку дорог от снежного покрова , ремонт дорог, оплату уличного освещения- в сумме  1133474,01 рублей;</w:t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Субвенции бюджетам бюджетной системы на осуществление первичного воинского учета 229400,00 рублей ; прочие межбюджетные трансферты передаваемые бюджетам сельских поселений в сумме 1144000,00  руб.</w:t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Прочие безвозмездные поступления в сумме 200000,0рублей ;</w:t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Прочие субсидии сельским поселениям на исполнение полномочий по местным инициативам 952000,00 рублей;</w:t>
      </w:r>
    </w:p>
    <w:p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Анализируя структуру доходов за период с 2024 по 2025 годы прослеживается незначительное повышение налоговых и</w:t>
      </w:r>
      <w:r>
        <w:rPr>
          <w:rFonts w:ascii="Times New Roman" w:hAnsi="Times New Roman"/>
          <w:color w:val="FF0000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неналоговых доходов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5486400" cy="3200400"/>
            <wp:effectExtent l="4445" t="4445" r="14605" b="1460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Рисунок 1.1. Структура доходов бюджета Новошипуновского  сельсовета за 2024-2025 гг., тыс. руб.</w:t>
      </w:r>
    </w:p>
    <w:p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Следует отметить, что увеличение  собственных доходов происходит  за счет изменения федерального и регионального законодательства.</w:t>
      </w:r>
    </w:p>
    <w:p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Рассмотрим структуру налоговых доходов в общем объеме поступлений. </w:t>
      </w:r>
    </w:p>
    <w:p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drawing>
          <wp:inline distT="0" distB="0" distL="0" distR="0">
            <wp:extent cx="5461635" cy="3028950"/>
            <wp:effectExtent l="4445" t="4445" r="20320" b="14605"/>
            <wp:docPr id="2" name="Объект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Рисунок 1.2. Налоговые доходы в общем объеме поступлений Новошипуновского сельсовета с 2024-2025 гг.,руб.</w:t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На протяжении исследуемого периода сумма налоговых доходов имеет тенденцию к незначительному увеличению. Если смотреть в целом на показатели, то можно сказать, что наблюдается подъём в поступлении налоговых доходов, как в целом, так и по видам основных налоговых доходов, это хорошо видно на рисунке 1.3. </w:t>
      </w:r>
    </w:p>
    <w:p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BF2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BF2"/>
        </w:rPr>
        <w:t xml:space="preserve">136-ФЗ внес изменения в части перераспределения отдельных полномочий с уровня поселений на уровень района. Для обеспечения переданных полномочий в Бюджетный кодекс РФ федеральным законом № 383-ФЗ внесены изменения по перераспределению отдельных нормативов отчислений между бюджетами муниципальных районов и сельских поселений в пользу районных бюджетов, налоговые и неналоговые доходы поселений сократились по налогу на доходы физических лиц,  доходам от аренды и продажи земельных участков. </w:t>
      </w:r>
    </w:p>
    <w:p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BF2"/>
        </w:rPr>
      </w:pPr>
    </w:p>
    <w:p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drawing>
          <wp:inline distT="0" distB="0" distL="0" distR="0">
            <wp:extent cx="5690235" cy="5666105"/>
            <wp:effectExtent l="4445" t="4445" r="20320" b="6350"/>
            <wp:docPr id="3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Рисунок 1.3. Структура налоговых доходов Новошипуновского сельсовета за 2024-2025 гг., тыс.руб.</w:t>
      </w:r>
    </w:p>
    <w:p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Немаловажным доходным источником для бюджета является земельный налог, который полностью зачисляется в местный бюджет.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Налог на имущество физических лиц</w:t>
      </w:r>
      <w:r>
        <w:rPr>
          <w:rStyle w:val="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второй по значимости налог для бюджетов поселений, 100% доходов подлежит зачислению в бюджет поселений. В сравнении с 2024 г  налога на имущество поступило больше на 337,4 тыс. руб. Единый сельхозналог поступил в бюджет на 907,5 тыс руб. больше по сравнению с 2024 г.</w:t>
      </w:r>
    </w:p>
    <w:p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Налог на доходы с физических лиц увеличился в 2025 г в  на 22,1 тыс.руб., </w:t>
      </w:r>
    </w:p>
    <w:p>
      <w:pPr>
        <w:tabs>
          <w:tab w:val="left" w:pos="4035"/>
          <w:tab w:val="left" w:pos="5580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Неналоговые доходы являются составной частью доходов местного бюджета. В бюджет сельсовета подлежат зачислению такие доходы как, доходы от продажи и  передачи в аренду имущества.</w:t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Анализируя поступления неналоговых доходов в местный бюджет можно сделать вывод о том, что доля их в общем объеме доходов  постепенно увеличивается. </w:t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8"/>
          <w:szCs w:val="28"/>
        </w:rPr>
        <w:t>В период с 2024 по 2025 гг. сумма поступлений от неналоговых доходов Новошипуновского сельсовета имеет тенденцию к увеличению в связи с тем ,что увеличился МРОТ в январе 2025 г.</w:t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486400" cy="3200400"/>
            <wp:effectExtent l="4445" t="4445" r="14605" b="14605"/>
            <wp:wrapSquare wrapText="bothSides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  <w:r>
        <w:rPr>
          <w:rFonts w:ascii="Times New Roman" w:hAnsi="Times New Roman"/>
          <w:color w:val="000000"/>
          <w:sz w:val="24"/>
          <w:szCs w:val="24"/>
        </w:rPr>
        <w:br w:type="textWrapping" w:clear="all"/>
      </w:r>
    </w:p>
    <w:p>
      <w:pPr>
        <w:tabs>
          <w:tab w:val="left" w:pos="1695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Рисунок 2.4.  Структура неналоговых доходов Новошипуновского сельсовета за 2024-2025 гг., тыс. руб.</w:t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Неналоговые доходы в большей степени показывают эффективность работы органов местного самоуправления с муниципальной собственностью. </w:t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Поступили доходы от арендной платы за аренду земельных участков . Поступило в сумме 50,7 тыс.рублей ,за аренду имущества 71,4 тыс.рублей</w:t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Также поступают доходы от возмещения затрат по доставке призывников в сумме 23,8 тыс.руб;</w:t>
      </w:r>
    </w:p>
    <w:p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Анализируя все вышесказанное можно сделать вывод, </w:t>
      </w:r>
      <w:r>
        <w:rPr>
          <w:rFonts w:ascii="Times New Roman" w:hAnsi="Times New Roman"/>
          <w:color w:val="000000"/>
          <w:sz w:val="28"/>
          <w:szCs w:val="28"/>
        </w:rPr>
        <w:t xml:space="preserve">что собственных доходов Новошипуновского сельсовета  недостаточно для осуществления всех полномочий определенных Федеральным Законом «Об общих принципах организации местного самоуправления в Российской Федерации» от 6.10.2003 №131-ФЗ. Согласно этому закону полномочий и естественно ответственности на поселения возложено   много, а финансового обеспечения практически не предусмотрено. </w:t>
      </w:r>
    </w:p>
    <w:p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Расходы денежных средств</w:t>
      </w:r>
    </w:p>
    <w:p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Расходы денежных средств местного бюджета направлены на финансовое обеспечение задач и функций местного самоуправления. Расходная часть местного бюджета включает финансирование расходов, связанных с решением вопросов местного значения, с управлением и развитием экономики и социальной сферы Новошипуновского сельсовета. Планирование расходов на предстоящий финансовый год это очень ответственная работа, которая проводится Новошипуновским сельсоветом. </w:t>
      </w:r>
    </w:p>
    <w:p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Дебиторская задолженность по счетам отсутствует;</w:t>
      </w:r>
    </w:p>
    <w:p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Кредиторская задолженность :</w:t>
      </w:r>
    </w:p>
    <w:p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по счету  30223000 в сумме 18819,93 рублей остаток по выставленным счетам за электроэнергию за декабрь 2025 года ;</w:t>
      </w:r>
    </w:p>
    <w:p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счету 30224000 в сумме 319,99 руб. остаток по начисленным арендам опор ;</w:t>
      </w:r>
    </w:p>
    <w:p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Финансирование расходов </w:t>
      </w:r>
      <w:r>
        <w:rPr>
          <w:rFonts w:ascii="Times New Roman" w:hAnsi="Times New Roman" w:cs="Times New Roman"/>
          <w:color w:val="000000"/>
          <w:sz w:val="28"/>
          <w:szCs w:val="28"/>
        </w:rPr>
        <w:t>Новошипуновского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осуществляется на основании расходных обязательств  и бюджетных смет.</w:t>
      </w:r>
    </w:p>
    <w:p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Расходы бюджета за 2024 год составили 6670955,62 руб. Дефицит  бюджета составил 369,1 тыс. руб.: </w:t>
      </w:r>
    </w:p>
    <w:p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отметить, что данный результат достигнут в связи с увеличением  поступлений налоговых и неналоговых доходов.</w:t>
      </w:r>
    </w:p>
    <w:p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за 2025г, расходная часть местного бюджета </w:t>
      </w:r>
      <w:r>
        <w:rPr>
          <w:rFonts w:ascii="Times New Roman" w:hAnsi="Times New Roman" w:cs="Times New Roman"/>
          <w:color w:val="000000"/>
          <w:sz w:val="28"/>
          <w:szCs w:val="28"/>
        </w:rPr>
        <w:t>Новошипуновского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сложилась следующим образом:</w:t>
      </w:r>
    </w:p>
    <w:p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Рисунок 1.5. Структура расходов местного бюджета Новошипуновского сельсовета  за 2024-2025 гг., тыс. руб.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drawing>
          <wp:inline distT="0" distB="0" distL="0" distR="0">
            <wp:extent cx="5667375" cy="9734550"/>
            <wp:effectExtent l="4445" t="5080" r="5080" b="13970"/>
            <wp:docPr id="5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исполнение бюджета </w:t>
      </w:r>
      <w:r>
        <w:rPr>
          <w:rFonts w:ascii="Times New Roman" w:hAnsi="Times New Roman" w:cs="Times New Roman"/>
          <w:color w:val="000000"/>
          <w:sz w:val="28"/>
          <w:szCs w:val="28"/>
        </w:rPr>
        <w:t>Новошипуновского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обеспечено решение первоочередных задач социальной направленности. На эти цели израсходовано 4723,4 рубля, или 62,3 % от общего объема собственных доходов  бюджета поселения. Из них расходы на заработную плату  сотрудников в области физической культуры и спорта и спортивный инвентарь составили  –112,9 тыс. рублей,  культуры и кинематографии – 3001,7 тыс. рублей.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Средства  бюджета сельсовета были  направлены на решение следующих задач: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проведение мероприятий по предупреждению ЧС;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ремонт и восстановление дорог;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-благоустройство площади ;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Из вышестоящих бюджетов в 2025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 в бюджет сельсовета поступило   - 4157,6 рублей. Денежные средства  целевого назначения были направлены  на: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-1013474,01 рублей на организацию дорожной деятельности, из них: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-600000,00 рублей направлено из дорожного фонда на оплату восстановления верхних слоев покрытия автодороги контракт заключен с МУП "Краснощековские водопроводные сети;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-19941,05 рублей - направлено из дорожного фонда района на оплату электроэнергии израсходованной на освещение улиц села договор заключен с АО "Алтайэнергосбыт";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- 1279,96 рублей - направлено из дорожного фонда на аренду опор договорзаключен с ПАО "Россети Сибирь";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- 161178,00 рублей - направлено из дорожного фонда на оплату счетов за очистку дорог от снежного покрова,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договора заключены с ИП К(Ф)Х Ивашов Б.А., ООО "Агрорезерв", ИП Скорых И.В;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- 231075,00 рублей – разработка проекта организации дорожного движения на автомобильной дороге , договор заключен с ООО «Сибирьдорлайн»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этого :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- 229400,00 рублей заработная плата с налогами по ВУС ;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-1272000 рублей благоустройство места отдыха в с.Новошипуново по проекту местных инициатив за счет краевого бюджета 952000,00 рублей ,за счет местного бюджета 150000,00 руб.,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 счет населения 110000,00 руб., организации 20000.00 ИП К(Ф)Х Ивашов Б.А., 50000.00 руб. ООО Агрорезерв .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счет  собственных средств приобретались  материалы, выполнялись   следующие виды работ: 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был проведен юбилей села 240 лет «Поклон селу, и людям в нем живущим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!</w:t>
      </w:r>
      <w:r>
        <w:rPr>
          <w:rFonts w:ascii="Times New Roman" w:hAnsi="Times New Roman" w:cs="Times New Roman"/>
          <w:sz w:val="28"/>
          <w:szCs w:val="28"/>
        </w:rPr>
        <w:t>»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течении летнего периода проводили скашивание сорной растительности в черте села;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-проводили работу по озеленению;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осеннее время проводили работу по подготовке проходов для талых весенних вод;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организацию работы сельсовета израсходовано 1 037 500 рублей, в том числе:</w:t>
      </w:r>
    </w:p>
    <w:tbl>
      <w:tblPr>
        <w:tblStyle w:val="3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36"/>
        <w:gridCol w:w="563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5"/>
              <w:spacing w:line="240" w:lineRule="auto"/>
              <w:ind w:firstLine="0"/>
              <w:rPr>
                <w:b/>
              </w:rPr>
            </w:pPr>
            <w:r>
              <w:rPr>
                <w:b/>
              </w:rPr>
              <w:t>Основные статьи расходов:</w:t>
            </w:r>
          </w:p>
        </w:tc>
        <w:tc>
          <w:tcPr>
            <w:tcW w:w="5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5"/>
              <w:spacing w:line="240" w:lineRule="auto"/>
              <w:ind w:firstLine="0"/>
              <w:rPr>
                <w:b/>
              </w:rPr>
            </w:pPr>
            <w:r>
              <w:rPr>
                <w:b/>
              </w:rPr>
              <w:t>Общая сумма затрат  (тыс. руб.)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5"/>
              <w:spacing w:line="240" w:lineRule="auto"/>
              <w:ind w:firstLine="0"/>
              <w:jc w:val="left"/>
            </w:pPr>
            <w:r>
              <w:t>Электроэнергия</w:t>
            </w:r>
          </w:p>
        </w:tc>
        <w:tc>
          <w:tcPr>
            <w:tcW w:w="5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-144,2 объекты администрации;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-1,3  аренда опор;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- 19,9 уличное освещение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5"/>
              <w:spacing w:line="240" w:lineRule="auto"/>
              <w:ind w:firstLine="0"/>
              <w:jc w:val="left"/>
            </w:pPr>
            <w:r>
              <w:t>Уголь</w:t>
            </w:r>
          </w:p>
        </w:tc>
        <w:tc>
          <w:tcPr>
            <w:tcW w:w="5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5"/>
              <w:spacing w:line="240" w:lineRule="auto"/>
              <w:ind w:firstLine="0"/>
            </w:pPr>
            <w:r>
              <w:t>402,5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ГСМ</w:t>
            </w:r>
          </w:p>
        </w:tc>
        <w:tc>
          <w:tcPr>
            <w:tcW w:w="5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5"/>
              <w:spacing w:line="240" w:lineRule="auto"/>
              <w:ind w:firstLine="0"/>
            </w:pPr>
            <w:r>
              <w:t>171,0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5"/>
              <w:spacing w:line="240" w:lineRule="auto"/>
              <w:ind w:firstLine="0"/>
              <w:jc w:val="left"/>
            </w:pPr>
            <w:r>
              <w:t>Зап. части</w:t>
            </w:r>
          </w:p>
        </w:tc>
        <w:tc>
          <w:tcPr>
            <w:tcW w:w="5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5"/>
              <w:spacing w:line="240" w:lineRule="auto"/>
              <w:ind w:firstLine="0"/>
            </w:pPr>
            <w:r>
              <w:t>50,6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5"/>
              <w:spacing w:line="240" w:lineRule="auto"/>
              <w:ind w:firstLine="0"/>
              <w:jc w:val="left"/>
            </w:pPr>
            <w:r>
              <w:t>Связь (телефон, интернет, галекс)</w:t>
            </w:r>
          </w:p>
        </w:tc>
        <w:tc>
          <w:tcPr>
            <w:tcW w:w="5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5"/>
              <w:spacing w:line="240" w:lineRule="auto"/>
              <w:ind w:firstLine="0"/>
            </w:pPr>
            <w:r>
              <w:t>98,9  тыс. рублей:</w:t>
            </w:r>
          </w:p>
          <w:p>
            <w:pPr>
              <w:pStyle w:val="5"/>
              <w:spacing w:line="240" w:lineRule="auto"/>
              <w:ind w:firstLine="0"/>
            </w:pPr>
            <w:r>
              <w:t>-4,0 телефон;</w:t>
            </w:r>
          </w:p>
          <w:p>
            <w:pPr>
              <w:pStyle w:val="5"/>
              <w:spacing w:line="240" w:lineRule="auto"/>
              <w:ind w:firstLine="0"/>
            </w:pPr>
            <w:r>
              <w:t>-9,5 программа СБИС.</w:t>
            </w:r>
          </w:p>
          <w:p>
            <w:pPr>
              <w:pStyle w:val="5"/>
              <w:spacing w:line="240" w:lineRule="auto"/>
              <w:ind w:firstLine="0"/>
            </w:pPr>
            <w:r>
              <w:t>-85,4 интернет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5"/>
              <w:spacing w:line="240" w:lineRule="auto"/>
              <w:ind w:firstLine="0"/>
              <w:jc w:val="left"/>
            </w:pPr>
            <w:r>
              <w:t xml:space="preserve">Налоги (земельный, имущественный, транспортный) </w:t>
            </w:r>
          </w:p>
        </w:tc>
        <w:tc>
          <w:tcPr>
            <w:tcW w:w="5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5"/>
              <w:spacing w:line="240" w:lineRule="auto"/>
              <w:ind w:firstLine="0"/>
            </w:pPr>
            <w:r>
              <w:t>32,3 руб.</w:t>
            </w:r>
          </w:p>
          <w:p>
            <w:pPr>
              <w:pStyle w:val="5"/>
              <w:spacing w:line="240" w:lineRule="auto"/>
              <w:ind w:firstLine="0"/>
            </w:pPr>
            <w:r>
              <w:t xml:space="preserve">земельный- 25,4 руб.; </w:t>
            </w:r>
          </w:p>
          <w:p>
            <w:pPr>
              <w:pStyle w:val="5"/>
              <w:spacing w:line="240" w:lineRule="auto"/>
              <w:ind w:firstLine="0"/>
            </w:pPr>
            <w:r>
              <w:t>транспортный – 6,9 тыс. руб.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5"/>
              <w:spacing w:line="240" w:lineRule="auto"/>
              <w:ind w:firstLine="0"/>
              <w:jc w:val="left"/>
            </w:pPr>
            <w:r>
              <w:t>Материалы, в т.ч. канцелярские товар</w:t>
            </w:r>
          </w:p>
        </w:tc>
        <w:tc>
          <w:tcPr>
            <w:tcW w:w="5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5"/>
              <w:spacing w:line="240" w:lineRule="auto"/>
              <w:ind w:firstLine="0"/>
            </w:pPr>
            <w:r>
              <w:t>116,8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5"/>
              <w:spacing w:line="240" w:lineRule="auto"/>
              <w:ind w:firstLine="0"/>
            </w:pPr>
            <w:r>
              <w:t>Итого:</w:t>
            </w:r>
          </w:p>
        </w:tc>
        <w:tc>
          <w:tcPr>
            <w:tcW w:w="5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1037,5 тыс. рублей </w:t>
            </w:r>
          </w:p>
        </w:tc>
      </w:tr>
    </w:tbl>
    <w:p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увеличения доходной базы бюджета сельсовета проводится работа по оформлению невостребованных земельных долей  в 2025г. </w:t>
      </w:r>
    </w:p>
    <w:p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 исполнении бюджета необходимо обеспечить максимальную экономию бюджетных средств за счет их рационального использования. Для этого должны быть сохранены сдерживающие механизмы, обеспечивающие приоритетное финансирование первоочередных и социально-значимых обязательств. Одновременно следует продолжить еженедельный мониторинг экономии бюджетных расходов по результатам конкурсных процедур. Бюджетные ассигнования должны оперативно уменьшаться на суммы образовавшейся экономии.</w:t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На 202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>6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год планируется: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u w:val="single"/>
          <w:lang w:eastAsia="ru-RU"/>
        </w:rPr>
        <w:t>Организация благоустройства и озеленения территории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благоустройство территории будет осуществляться в соответствии с Правилами благоустройства, Правилами содержания зелёных насаждений, ежегодным планом благоустройства территории, с привлечением к работам по благоустройству граждан, организаций всех форм собственности.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u w:val="single"/>
          <w:lang w:eastAsia="ru-RU"/>
        </w:rPr>
        <w:t>Организацию освещения улиц: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-систематический контроль за освещением населенного пункта муниципального образования, ремонт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фонарей уличного освещения.</w:t>
      </w:r>
    </w:p>
    <w:p>
      <w:pPr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Обустройство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стелы на вьез в село Новошипуново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по программе местных инициатив с софинансированием граждан и долей сельсовета.</w:t>
      </w:r>
    </w:p>
    <w:sectPr>
      <w:pgSz w:w="11906" w:h="16838"/>
      <w:pgMar w:top="568" w:right="850" w:bottom="709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CC"/>
    <w:family w:val="swiss"/>
    <w:pitch w:val="default"/>
    <w:sig w:usb0="A10006FF" w:usb1="4000205B" w:usb2="00000010" w:usb3="00000000" w:csb0="2000019F" w:csb1="00000000"/>
  </w:font>
  <w:font w:name="TimesNewRomanPS-BoldMT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Calibri">
    <w:panose1 w:val="020F0502020204030204"/>
    <w:charset w:val="01"/>
    <w:family w:val="auto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679"/>
    <w:rsid w:val="00001C9D"/>
    <w:rsid w:val="0001019E"/>
    <w:rsid w:val="000101C8"/>
    <w:rsid w:val="00013329"/>
    <w:rsid w:val="00013632"/>
    <w:rsid w:val="00016519"/>
    <w:rsid w:val="000246C0"/>
    <w:rsid w:val="0003446A"/>
    <w:rsid w:val="00035EA0"/>
    <w:rsid w:val="00052633"/>
    <w:rsid w:val="00054ACA"/>
    <w:rsid w:val="000624BE"/>
    <w:rsid w:val="0007075D"/>
    <w:rsid w:val="00070BED"/>
    <w:rsid w:val="00071B3C"/>
    <w:rsid w:val="00075DCD"/>
    <w:rsid w:val="0008474E"/>
    <w:rsid w:val="00084B43"/>
    <w:rsid w:val="000945CE"/>
    <w:rsid w:val="000A5A96"/>
    <w:rsid w:val="000A5D20"/>
    <w:rsid w:val="000B3833"/>
    <w:rsid w:val="000D6302"/>
    <w:rsid w:val="000E2289"/>
    <w:rsid w:val="000E724E"/>
    <w:rsid w:val="000F435A"/>
    <w:rsid w:val="000F5388"/>
    <w:rsid w:val="000F7656"/>
    <w:rsid w:val="000F7B54"/>
    <w:rsid w:val="001069C4"/>
    <w:rsid w:val="0011331A"/>
    <w:rsid w:val="0012784E"/>
    <w:rsid w:val="00127E0E"/>
    <w:rsid w:val="0013032F"/>
    <w:rsid w:val="00135DBE"/>
    <w:rsid w:val="00152D94"/>
    <w:rsid w:val="0015735C"/>
    <w:rsid w:val="00172A0F"/>
    <w:rsid w:val="001A37B3"/>
    <w:rsid w:val="001A4764"/>
    <w:rsid w:val="001A7848"/>
    <w:rsid w:val="001B4CAE"/>
    <w:rsid w:val="001B5A7A"/>
    <w:rsid w:val="001E7DA3"/>
    <w:rsid w:val="001F4697"/>
    <w:rsid w:val="001F56BB"/>
    <w:rsid w:val="0020341A"/>
    <w:rsid w:val="00205C60"/>
    <w:rsid w:val="0020660D"/>
    <w:rsid w:val="002208EA"/>
    <w:rsid w:val="00237B05"/>
    <w:rsid w:val="00240366"/>
    <w:rsid w:val="0025230E"/>
    <w:rsid w:val="00265A05"/>
    <w:rsid w:val="00266E62"/>
    <w:rsid w:val="00270263"/>
    <w:rsid w:val="002908F7"/>
    <w:rsid w:val="00296C0D"/>
    <w:rsid w:val="002A07FD"/>
    <w:rsid w:val="002A26D9"/>
    <w:rsid w:val="002B02B1"/>
    <w:rsid w:val="002C476E"/>
    <w:rsid w:val="002C4B96"/>
    <w:rsid w:val="002C6833"/>
    <w:rsid w:val="002C6FE3"/>
    <w:rsid w:val="002D18B8"/>
    <w:rsid w:val="002D204F"/>
    <w:rsid w:val="002E1D98"/>
    <w:rsid w:val="00302F2A"/>
    <w:rsid w:val="003044D6"/>
    <w:rsid w:val="00311672"/>
    <w:rsid w:val="00312066"/>
    <w:rsid w:val="00327960"/>
    <w:rsid w:val="00333C31"/>
    <w:rsid w:val="00336A56"/>
    <w:rsid w:val="00344878"/>
    <w:rsid w:val="0035582F"/>
    <w:rsid w:val="00367FAB"/>
    <w:rsid w:val="00371421"/>
    <w:rsid w:val="00377FCA"/>
    <w:rsid w:val="003950EC"/>
    <w:rsid w:val="00396D28"/>
    <w:rsid w:val="003B30A2"/>
    <w:rsid w:val="003B70F1"/>
    <w:rsid w:val="003D1DF4"/>
    <w:rsid w:val="003E3F80"/>
    <w:rsid w:val="0043274E"/>
    <w:rsid w:val="00436383"/>
    <w:rsid w:val="004553BF"/>
    <w:rsid w:val="00456593"/>
    <w:rsid w:val="004910AC"/>
    <w:rsid w:val="00494113"/>
    <w:rsid w:val="004A138D"/>
    <w:rsid w:val="004A3421"/>
    <w:rsid w:val="004B3A10"/>
    <w:rsid w:val="004C0F8D"/>
    <w:rsid w:val="004C3016"/>
    <w:rsid w:val="004C4BD9"/>
    <w:rsid w:val="004D01B6"/>
    <w:rsid w:val="004D070A"/>
    <w:rsid w:val="004E0DDD"/>
    <w:rsid w:val="004E1BBF"/>
    <w:rsid w:val="005041D1"/>
    <w:rsid w:val="00506D31"/>
    <w:rsid w:val="00516494"/>
    <w:rsid w:val="0051661A"/>
    <w:rsid w:val="005219DB"/>
    <w:rsid w:val="00521B1E"/>
    <w:rsid w:val="005331BA"/>
    <w:rsid w:val="00541B61"/>
    <w:rsid w:val="005439DD"/>
    <w:rsid w:val="005752ED"/>
    <w:rsid w:val="0058532E"/>
    <w:rsid w:val="00591C50"/>
    <w:rsid w:val="00595FA5"/>
    <w:rsid w:val="00597FAD"/>
    <w:rsid w:val="005C0663"/>
    <w:rsid w:val="005C1798"/>
    <w:rsid w:val="005C1C17"/>
    <w:rsid w:val="005D05A3"/>
    <w:rsid w:val="005D68C1"/>
    <w:rsid w:val="005E05D3"/>
    <w:rsid w:val="005F0A97"/>
    <w:rsid w:val="005F300E"/>
    <w:rsid w:val="0060102F"/>
    <w:rsid w:val="00604FE6"/>
    <w:rsid w:val="00630FF9"/>
    <w:rsid w:val="00654232"/>
    <w:rsid w:val="0067111A"/>
    <w:rsid w:val="006725D3"/>
    <w:rsid w:val="006774B5"/>
    <w:rsid w:val="006821F9"/>
    <w:rsid w:val="006A3867"/>
    <w:rsid w:val="006B148C"/>
    <w:rsid w:val="006B4679"/>
    <w:rsid w:val="006C02DE"/>
    <w:rsid w:val="006C5A59"/>
    <w:rsid w:val="006D0523"/>
    <w:rsid w:val="006E47A1"/>
    <w:rsid w:val="006F3635"/>
    <w:rsid w:val="007000FD"/>
    <w:rsid w:val="00700E89"/>
    <w:rsid w:val="00710786"/>
    <w:rsid w:val="00714290"/>
    <w:rsid w:val="00730710"/>
    <w:rsid w:val="00733D3F"/>
    <w:rsid w:val="00740249"/>
    <w:rsid w:val="0076518B"/>
    <w:rsid w:val="00767A0D"/>
    <w:rsid w:val="007706CB"/>
    <w:rsid w:val="007711E0"/>
    <w:rsid w:val="0077236C"/>
    <w:rsid w:val="00776E10"/>
    <w:rsid w:val="00780048"/>
    <w:rsid w:val="00783FD1"/>
    <w:rsid w:val="00786BB8"/>
    <w:rsid w:val="007A0089"/>
    <w:rsid w:val="007B3022"/>
    <w:rsid w:val="007B4603"/>
    <w:rsid w:val="007C0DA7"/>
    <w:rsid w:val="007C6BC1"/>
    <w:rsid w:val="007C7DE9"/>
    <w:rsid w:val="007E11A3"/>
    <w:rsid w:val="007E2EC0"/>
    <w:rsid w:val="007F1888"/>
    <w:rsid w:val="00804FEB"/>
    <w:rsid w:val="00817B12"/>
    <w:rsid w:val="0082079F"/>
    <w:rsid w:val="00832CC8"/>
    <w:rsid w:val="008360FF"/>
    <w:rsid w:val="00842B58"/>
    <w:rsid w:val="008523E6"/>
    <w:rsid w:val="00862E2A"/>
    <w:rsid w:val="0087350F"/>
    <w:rsid w:val="0088782A"/>
    <w:rsid w:val="00887D13"/>
    <w:rsid w:val="00890A0B"/>
    <w:rsid w:val="00890E9E"/>
    <w:rsid w:val="00896B38"/>
    <w:rsid w:val="008970A4"/>
    <w:rsid w:val="008A2085"/>
    <w:rsid w:val="008A4D7D"/>
    <w:rsid w:val="008B4520"/>
    <w:rsid w:val="008B7C3C"/>
    <w:rsid w:val="008E0141"/>
    <w:rsid w:val="008E7F97"/>
    <w:rsid w:val="008F1F2B"/>
    <w:rsid w:val="00903BA9"/>
    <w:rsid w:val="0090761A"/>
    <w:rsid w:val="00920AC1"/>
    <w:rsid w:val="00922806"/>
    <w:rsid w:val="00932497"/>
    <w:rsid w:val="00941FEE"/>
    <w:rsid w:val="00942F80"/>
    <w:rsid w:val="00945D5C"/>
    <w:rsid w:val="009460D1"/>
    <w:rsid w:val="00981AF0"/>
    <w:rsid w:val="0099111E"/>
    <w:rsid w:val="00991F14"/>
    <w:rsid w:val="009A1BE7"/>
    <w:rsid w:val="009B5D25"/>
    <w:rsid w:val="009B67BA"/>
    <w:rsid w:val="009C5103"/>
    <w:rsid w:val="009C629B"/>
    <w:rsid w:val="009D1D3A"/>
    <w:rsid w:val="009D7094"/>
    <w:rsid w:val="009E2F96"/>
    <w:rsid w:val="009E716B"/>
    <w:rsid w:val="009F6FC5"/>
    <w:rsid w:val="00A03F6F"/>
    <w:rsid w:val="00A10B5B"/>
    <w:rsid w:val="00A14D68"/>
    <w:rsid w:val="00A27265"/>
    <w:rsid w:val="00A37586"/>
    <w:rsid w:val="00A4233D"/>
    <w:rsid w:val="00A5184F"/>
    <w:rsid w:val="00A61CD5"/>
    <w:rsid w:val="00A7621E"/>
    <w:rsid w:val="00A76EE4"/>
    <w:rsid w:val="00A777CE"/>
    <w:rsid w:val="00A92D4E"/>
    <w:rsid w:val="00AA06D5"/>
    <w:rsid w:val="00AA6328"/>
    <w:rsid w:val="00AB239C"/>
    <w:rsid w:val="00AC1BFA"/>
    <w:rsid w:val="00AC2827"/>
    <w:rsid w:val="00AC2A7A"/>
    <w:rsid w:val="00AC5456"/>
    <w:rsid w:val="00AD06E1"/>
    <w:rsid w:val="00AD20D0"/>
    <w:rsid w:val="00AD3670"/>
    <w:rsid w:val="00AD6CC8"/>
    <w:rsid w:val="00AE64BE"/>
    <w:rsid w:val="00AF195D"/>
    <w:rsid w:val="00B12866"/>
    <w:rsid w:val="00B17C43"/>
    <w:rsid w:val="00B34B62"/>
    <w:rsid w:val="00B4175F"/>
    <w:rsid w:val="00B45D5E"/>
    <w:rsid w:val="00B55F05"/>
    <w:rsid w:val="00B60D48"/>
    <w:rsid w:val="00B61047"/>
    <w:rsid w:val="00B71003"/>
    <w:rsid w:val="00B725C7"/>
    <w:rsid w:val="00B73030"/>
    <w:rsid w:val="00B7440C"/>
    <w:rsid w:val="00B74539"/>
    <w:rsid w:val="00B8504F"/>
    <w:rsid w:val="00B94936"/>
    <w:rsid w:val="00BA033C"/>
    <w:rsid w:val="00BB1EF6"/>
    <w:rsid w:val="00BC1CEA"/>
    <w:rsid w:val="00BC72F9"/>
    <w:rsid w:val="00BD50EE"/>
    <w:rsid w:val="00BD711D"/>
    <w:rsid w:val="00BF281F"/>
    <w:rsid w:val="00C037E6"/>
    <w:rsid w:val="00C060BA"/>
    <w:rsid w:val="00C17B20"/>
    <w:rsid w:val="00C23EBC"/>
    <w:rsid w:val="00C26416"/>
    <w:rsid w:val="00C41A44"/>
    <w:rsid w:val="00C429A2"/>
    <w:rsid w:val="00C50A0C"/>
    <w:rsid w:val="00C54724"/>
    <w:rsid w:val="00C570BF"/>
    <w:rsid w:val="00C64C23"/>
    <w:rsid w:val="00C6587E"/>
    <w:rsid w:val="00C67C13"/>
    <w:rsid w:val="00C713D2"/>
    <w:rsid w:val="00C76695"/>
    <w:rsid w:val="00C958A8"/>
    <w:rsid w:val="00CA45AF"/>
    <w:rsid w:val="00CB56AB"/>
    <w:rsid w:val="00CC3464"/>
    <w:rsid w:val="00CC4B05"/>
    <w:rsid w:val="00CD28AD"/>
    <w:rsid w:val="00CE4B1E"/>
    <w:rsid w:val="00CF0EB0"/>
    <w:rsid w:val="00D10F47"/>
    <w:rsid w:val="00D144B9"/>
    <w:rsid w:val="00D21DE6"/>
    <w:rsid w:val="00D63503"/>
    <w:rsid w:val="00D64E43"/>
    <w:rsid w:val="00D70F0C"/>
    <w:rsid w:val="00D74802"/>
    <w:rsid w:val="00DA2B6E"/>
    <w:rsid w:val="00DA2D08"/>
    <w:rsid w:val="00DA5576"/>
    <w:rsid w:val="00DB2134"/>
    <w:rsid w:val="00DC5DE3"/>
    <w:rsid w:val="00DC7212"/>
    <w:rsid w:val="00DD7C41"/>
    <w:rsid w:val="00DE0870"/>
    <w:rsid w:val="00DF0A8F"/>
    <w:rsid w:val="00DF7F08"/>
    <w:rsid w:val="00E07A29"/>
    <w:rsid w:val="00E136F9"/>
    <w:rsid w:val="00E14912"/>
    <w:rsid w:val="00E155D9"/>
    <w:rsid w:val="00E21B1F"/>
    <w:rsid w:val="00E37E9A"/>
    <w:rsid w:val="00E55958"/>
    <w:rsid w:val="00E72EF0"/>
    <w:rsid w:val="00E72F8A"/>
    <w:rsid w:val="00E76C58"/>
    <w:rsid w:val="00E8048F"/>
    <w:rsid w:val="00EC7876"/>
    <w:rsid w:val="00ED6F1F"/>
    <w:rsid w:val="00EF0858"/>
    <w:rsid w:val="00F13CF8"/>
    <w:rsid w:val="00F14B51"/>
    <w:rsid w:val="00F1788C"/>
    <w:rsid w:val="00F34F8E"/>
    <w:rsid w:val="00F71394"/>
    <w:rsid w:val="00F73A25"/>
    <w:rsid w:val="00F96377"/>
    <w:rsid w:val="00FA632B"/>
    <w:rsid w:val="00FB0EFD"/>
    <w:rsid w:val="00FC2F04"/>
    <w:rsid w:val="00FC4548"/>
    <w:rsid w:val="00FC6462"/>
    <w:rsid w:val="00FC6AEE"/>
    <w:rsid w:val="00FD3B60"/>
    <w:rsid w:val="00FD6FA3"/>
    <w:rsid w:val="00FF2B43"/>
    <w:rsid w:val="00FF2B67"/>
    <w:rsid w:val="00FF2DEB"/>
    <w:rsid w:val="00FF76AE"/>
    <w:rsid w:val="571D036E"/>
    <w:rsid w:val="5E2E4DE0"/>
    <w:rsid w:val="67BF15AD"/>
    <w:rsid w:val="75E22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0"/>
    <w:autoRedefine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Body Text Indent"/>
    <w:basedOn w:val="1"/>
    <w:autoRedefine/>
    <w:unhideWhenUsed/>
    <w:qFormat/>
    <w:uiPriority w:val="0"/>
    <w:pPr>
      <w:spacing w:after="0" w:line="360" w:lineRule="auto"/>
      <w:ind w:firstLine="720"/>
      <w:jc w:val="both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6">
    <w:name w:val="Знак Знак Знак Знак Знак Знак"/>
    <w:basedOn w:val="1"/>
    <w:autoRedefine/>
    <w:qFormat/>
    <w:uiPriority w:val="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7">
    <w:name w:val="List Paragraph"/>
    <w:basedOn w:val="1"/>
    <w:autoRedefine/>
    <w:qFormat/>
    <w:uiPriority w:val="34"/>
    <w:pPr>
      <w:ind w:left="720"/>
      <w:contextualSpacing/>
    </w:pPr>
  </w:style>
  <w:style w:type="character" w:customStyle="1" w:styleId="8">
    <w:name w:val="Заголовок №1_"/>
    <w:basedOn w:val="2"/>
    <w:link w:val="9"/>
    <w:autoRedefine/>
    <w:qFormat/>
    <w:uiPriority w:val="0"/>
    <w:rPr>
      <w:rFonts w:ascii="Times New Roman" w:hAnsi="Times New Roman" w:eastAsia="Times New Roman" w:cs="Times New Roman"/>
      <w:sz w:val="27"/>
      <w:szCs w:val="27"/>
      <w:shd w:val="clear" w:color="auto" w:fill="FFFFFF"/>
    </w:rPr>
  </w:style>
  <w:style w:type="paragraph" w:customStyle="1" w:styleId="9">
    <w:name w:val="Заголовок №1"/>
    <w:basedOn w:val="1"/>
    <w:link w:val="8"/>
    <w:autoRedefine/>
    <w:qFormat/>
    <w:uiPriority w:val="0"/>
    <w:pPr>
      <w:shd w:val="clear" w:color="auto" w:fill="FFFFFF"/>
      <w:spacing w:before="300" w:after="0" w:line="0" w:lineRule="atLeast"/>
      <w:jc w:val="center"/>
      <w:outlineLvl w:val="0"/>
    </w:pPr>
    <w:rPr>
      <w:rFonts w:ascii="Times New Roman" w:hAnsi="Times New Roman" w:eastAsia="Times New Roman" w:cs="Times New Roman"/>
      <w:sz w:val="27"/>
      <w:szCs w:val="27"/>
    </w:rPr>
  </w:style>
  <w:style w:type="character" w:customStyle="1" w:styleId="10">
    <w:name w:val="Текст выноски Знак"/>
    <w:basedOn w:val="2"/>
    <w:link w:val="4"/>
    <w:autoRedefine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1">
    <w:name w:val="apple-converted-space"/>
    <w:basedOn w:val="2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hart" Target="charts/chart4.xml"/><Relationship Id="rId8" Type="http://schemas.openxmlformats.org/officeDocument/2006/relationships/chart" Target="charts/chart3.xml"/><Relationship Id="rId7" Type="http://schemas.openxmlformats.org/officeDocument/2006/relationships/chart" Target="charts/chart2.xml"/><Relationship Id="rId6" Type="http://schemas.openxmlformats.org/officeDocument/2006/relationships/chart" Target="charts/chart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hart" Target="charts/chart5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Workbook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themeOverride" Target="../theme/themeOverride1.xml"/><Relationship Id="rId1" Type="http://schemas.openxmlformats.org/officeDocument/2006/relationships/package" Target="../embeddings/Workbook2.xlsx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image" Target="../media/image1.jpeg"/><Relationship Id="rId2" Type="http://schemas.openxmlformats.org/officeDocument/2006/relationships/themeOverride" Target="../theme/themeOverride2.xml"/><Relationship Id="rId1" Type="http://schemas.openxmlformats.org/officeDocument/2006/relationships/package" Target="../embeddings/Workbook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Workbook4.xlsx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themeOverride" Target="../theme/themeOverride3.xml"/><Relationship Id="rId1" Type="http://schemas.openxmlformats.org/officeDocument/2006/relationships/package" Target="../embeddings/Workbook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налоговые доходы</c:v>
                </c:pt>
              </c:strCache>
            </c:strRef>
          </c:tx>
          <c:invertIfNegative val="0"/>
          <c:dLbls>
            <c:dLbl>
              <c:idx val="0"/>
              <c:layout/>
              <c:tx>
                <c:rich>
                  <a:bodyPr rot="0" spcFirstLastPara="0" vertOverflow="ellipsis" vert="horz" wrap="square" lIns="38100" tIns="19050" rIns="38100" bIns="19050" anchor="ctr" anchorCtr="1"/>
                  <a:lstStyle/>
                  <a:p>
                    <a:pPr>
                      <a:defRPr lang="ru-RU" sz="1000" b="0" i="0" u="none" strike="noStrike" kern="1200" baseline="0">
                        <a:solidFill>
                          <a:schemeClr val="tx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/>
                      <a:t>1</a:t>
                    </a:r>
                    <a:r>
                      <a:rPr lang="ru-RU"/>
                      <a:t>446</a:t>
                    </a:r>
                    <a:endParaRPr lang="en-US"/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/>
              <c:tx>
                <c:rich>
                  <a:bodyPr rot="0" spcFirstLastPara="0" vertOverflow="ellipsis" vert="horz" wrap="square" lIns="38100" tIns="19050" rIns="38100" bIns="19050" anchor="ctr" anchorCtr="1"/>
                  <a:lstStyle/>
                  <a:p>
                    <a:pPr>
                      <a:defRPr lang="ru-RU" sz="1000" b="0" i="0" u="none" strike="noStrike" kern="1200" baseline="0">
                        <a:solidFill>
                          <a:schemeClr val="tx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ru-RU"/>
                      <a:t>1714</a:t>
                    </a:r>
                    <a:endParaRPr lang="en-US"/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  <c15:leaderLines/>
              </c:ext>
            </c:extLst>
          </c:dLbls>
          <c:cat>
            <c:numRef>
              <c:f>Лист1!$A$2:$A$3</c:f>
              <c:numCache>
                <c:formatCode>General</c:formatCode>
                <c:ptCount val="2"/>
                <c:pt idx="0">
                  <c:v>2024</c:v>
                </c:pt>
                <c:pt idx="1">
                  <c:v>2025</c:v>
                </c:pt>
              </c:numCache>
            </c:num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1777</c:v>
                </c:pt>
                <c:pt idx="1">
                  <c:v>3030.3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неналоговые доходы</c:v>
                </c:pt>
              </c:strCache>
            </c:strRef>
          </c:tx>
          <c:invertIfNegative val="0"/>
          <c:dLbls>
            <c:dLbl>
              <c:idx val="0"/>
              <c:layout/>
              <c:tx>
                <c:rich>
                  <a:bodyPr rot="0" spcFirstLastPara="0" vertOverflow="ellipsis" vert="horz" wrap="square" lIns="38100" tIns="19050" rIns="38100" bIns="19050" anchor="ctr" anchorCtr="1"/>
                  <a:lstStyle/>
                  <a:p>
                    <a:pPr>
                      <a:defRPr lang="ru-RU" sz="1000" b="0" i="0" u="none" strike="noStrike" kern="1200" baseline="0">
                        <a:solidFill>
                          <a:schemeClr val="tx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ru-RU"/>
                      <a:t>817</a:t>
                    </a:r>
                    <a:endParaRPr lang="en-US"/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/>
              <c:tx>
                <c:rich>
                  <a:bodyPr rot="0" spcFirstLastPara="0" vertOverflow="ellipsis" vert="horz" wrap="square" lIns="38100" tIns="19050" rIns="38100" bIns="19050" anchor="ctr" anchorCtr="1"/>
                  <a:lstStyle/>
                  <a:p>
                    <a:pPr>
                      <a:defRPr lang="ru-RU" sz="1000" b="0" i="0" u="none" strike="noStrike" kern="1200" baseline="0">
                        <a:solidFill>
                          <a:schemeClr val="tx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ru-RU"/>
                      <a:t>474</a:t>
                    </a:r>
                    <a:endParaRPr lang="en-US"/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  <c15:leaderLines/>
              </c:ext>
            </c:extLst>
          </c:dLbls>
          <c:cat>
            <c:numRef>
              <c:f>Лист1!$A$2:$A$3</c:f>
              <c:numCache>
                <c:formatCode>General</c:formatCode>
                <c:ptCount val="2"/>
                <c:pt idx="0">
                  <c:v>2024</c:v>
                </c:pt>
                <c:pt idx="1">
                  <c:v>2025</c:v>
                </c:pt>
              </c:numCache>
            </c:num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474</c:v>
                </c:pt>
                <c:pt idx="1">
                  <c:v>134.9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дотации</c:v>
                </c:pt>
              </c:strCache>
            </c:strRef>
          </c:tx>
          <c:invertIfNegative val="0"/>
          <c:dLbls>
            <c:dLbl>
              <c:idx val="0"/>
              <c:layout/>
              <c:tx>
                <c:rich>
                  <a:bodyPr rot="0" spcFirstLastPara="0" vertOverflow="ellipsis" vert="horz" wrap="square" lIns="38100" tIns="19050" rIns="38100" bIns="19050" anchor="ctr" anchorCtr="1"/>
                  <a:lstStyle/>
                  <a:p>
                    <a:pPr>
                      <a:defRPr lang="ru-RU" sz="1000" b="0" i="0" u="none" strike="noStrike" kern="1200" baseline="0">
                        <a:solidFill>
                          <a:schemeClr val="tx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/>
                      <a:t>3</a:t>
                    </a:r>
                    <a:r>
                      <a:rPr lang="ru-RU"/>
                      <a:t>981</a:t>
                    </a:r>
                    <a:endParaRPr lang="en-US"/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/>
              <c:tx>
                <c:rich>
                  <a:bodyPr rot="0" spcFirstLastPara="0" vertOverflow="ellipsis" vert="horz" wrap="square" lIns="38100" tIns="19050" rIns="38100" bIns="19050" anchor="ctr" anchorCtr="1"/>
                  <a:lstStyle/>
                  <a:p>
                    <a:pPr>
                      <a:defRPr lang="ru-RU" sz="1000" b="0" i="0" u="none" strike="noStrike" kern="1200" baseline="0">
                        <a:solidFill>
                          <a:schemeClr val="tx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ru-RU"/>
                      <a:t>4369</a:t>
                    </a:r>
                    <a:endParaRPr lang="en-US"/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  <c15:leaderLines/>
              </c:ext>
            </c:extLst>
          </c:dLbls>
          <c:cat>
            <c:numRef>
              <c:f>Лист1!$A$2:$A$3</c:f>
              <c:numCache>
                <c:formatCode>General</c:formatCode>
                <c:ptCount val="2"/>
                <c:pt idx="0">
                  <c:v>2024</c:v>
                </c:pt>
                <c:pt idx="1">
                  <c:v>2025</c:v>
                </c:pt>
              </c:numCache>
            </c:num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4335</c:v>
                </c:pt>
                <c:pt idx="1">
                  <c:v>4335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101463168"/>
        <c:axId val="101464704"/>
      </c:barChart>
      <c:catAx>
        <c:axId val="1014631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101464704"/>
        <c:crosses val="autoZero"/>
        <c:auto val="1"/>
        <c:lblAlgn val="ctr"/>
        <c:lblOffset val="100"/>
        <c:noMultiLvlLbl val="0"/>
      </c:catAx>
      <c:valAx>
        <c:axId val="10146470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101463168"/>
        <c:crosses val="autoZero"/>
        <c:crossBetween val="between"/>
      </c:valAx>
    </c:plotArea>
    <c:legend>
      <c:legendPos val="r"/>
      <c:layout/>
      <c:overlay val="0"/>
      <c:txPr>
        <a:bodyPr rot="0" spcFirstLastPara="0" vertOverflow="ellipsis" vert="horz" wrap="square" anchor="ctr" anchorCtr="1"/>
        <a:lstStyle/>
        <a:p>
          <a:pPr>
            <a:defRPr lang="ru-RU"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txPr>
    <a:bodyPr/>
    <a:lstStyle/>
    <a:p>
      <a:pPr>
        <a:defRPr lang="ru-RU"/>
      </a:pPr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доходы всего</c:v>
                </c:pt>
              </c:strCache>
            </c:strRef>
          </c:tx>
          <c:invertIfNegative val="0"/>
          <c:dLbls>
            <c:spPr>
              <a:noFill/>
              <a:ln w="25363"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100" b="1" i="0" u="none" strike="noStrike" kern="1200" baseline="0">
                    <a:solidFill>
                      <a:srgbClr val="000000"/>
                    </a:solidFill>
                    <a:latin typeface="Calibri" panose="020F0502020204030204"/>
                    <a:ea typeface="Calibri" panose="020F0502020204030204"/>
                    <a:cs typeface="Calibri" panose="020F0502020204030204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  <c15:leaderLines/>
              </c:ext>
            </c:extLst>
          </c:dLbls>
          <c:cat>
            <c:numRef>
              <c:f>Лист1!$A$2:$A$5</c:f>
              <c:numCache>
                <c:formatCode>General</c:formatCode>
                <c:ptCount val="4"/>
                <c:pt idx="0">
                  <c:v>2024</c:v>
                </c:pt>
                <c:pt idx="2">
                  <c:v>2025</c:v>
                </c:pt>
              </c:numCache>
            </c:num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6488707.38</c:v>
                </c:pt>
                <c:pt idx="2">
                  <c:v>7322589.92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налоговые доходы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1" i="0" u="none" strike="noStrike" kern="1200" baseline="0">
                    <a:solidFill>
                      <a:srgbClr val="000000"/>
                    </a:solidFill>
                    <a:latin typeface="Calibri" panose="020F0502020204030204"/>
                    <a:ea typeface="Calibri" panose="020F0502020204030204"/>
                    <a:cs typeface="Calibri" panose="020F0502020204030204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  <c15:leaderLines/>
              </c:ext>
            </c:extLst>
          </c:dLbls>
          <c:cat>
            <c:numRef>
              <c:f>Лист1!$A$2:$A$5</c:f>
              <c:numCache>
                <c:formatCode>General</c:formatCode>
                <c:ptCount val="4"/>
                <c:pt idx="0">
                  <c:v>2024</c:v>
                </c:pt>
                <c:pt idx="2">
                  <c:v>2025</c:v>
                </c:pt>
              </c:numCache>
            </c:num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2153780.58</c:v>
                </c:pt>
                <c:pt idx="2">
                  <c:v>3165015.91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101450880"/>
        <c:axId val="101452416"/>
      </c:barChart>
      <c:catAx>
        <c:axId val="1014508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0" spcFirstLastPara="0" vertOverflow="ellipsis" vert="horz" wrap="square" anchor="ctr" anchorCtr="1"/>
          <a:lstStyle/>
          <a:p>
            <a:pPr>
              <a:defRPr lang="ru-RU" sz="1000" b="0" i="0" u="none" strike="noStrike" kern="1200" baseline="0">
                <a:solidFill>
                  <a:srgbClr val="000000"/>
                </a:solidFill>
                <a:latin typeface="Calibri" panose="020F0502020204030204"/>
                <a:ea typeface="Calibri" panose="020F0502020204030204"/>
                <a:cs typeface="Calibri" panose="020F0502020204030204"/>
              </a:defRPr>
            </a:pPr>
          </a:p>
        </c:txPr>
        <c:crossAx val="101452416"/>
        <c:crosses val="autoZero"/>
        <c:auto val="1"/>
        <c:lblAlgn val="ctr"/>
        <c:lblOffset val="100"/>
        <c:noMultiLvlLbl val="0"/>
      </c:catAx>
      <c:valAx>
        <c:axId val="10145241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1000" b="0" i="0" u="none" strike="noStrike" kern="1200" baseline="0">
                <a:solidFill>
                  <a:srgbClr val="000000"/>
                </a:solidFill>
                <a:latin typeface="Calibri" panose="020F0502020204030204"/>
                <a:ea typeface="Calibri" panose="020F0502020204030204"/>
                <a:cs typeface="Calibri" panose="020F0502020204030204"/>
              </a:defRPr>
            </a:pPr>
          </a:p>
        </c:txPr>
        <c:crossAx val="10145088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72887323943662"/>
          <c:y val="0.42443729903537"/>
          <c:w val="0.211267605633803"/>
          <c:h val="0.144694533762058"/>
        </c:manualLayout>
      </c:layout>
      <c:overlay val="0"/>
      <c:txPr>
        <a:bodyPr rot="0" spcFirstLastPara="0" vertOverflow="ellipsis" vert="horz" wrap="square" anchor="ctr" anchorCtr="1"/>
        <a:lstStyle/>
        <a:p>
          <a:pPr>
            <a:defRPr lang="ru-RU" sz="920" b="0" i="0" u="none" strike="noStrike" kern="1200" baseline="0">
              <a:solidFill>
                <a:srgbClr val="000000"/>
              </a:solidFill>
              <a:latin typeface="Calibri" panose="020F0502020204030204"/>
              <a:ea typeface="Calibri" panose="020F0502020204030204"/>
              <a:cs typeface="Calibri" panose="020F0502020204030204"/>
            </a:defRPr>
          </a:pPr>
        </a:p>
      </c:txPr>
    </c:legend>
    <c:plotVisOnly val="1"/>
    <c:dispBlanksAs val="gap"/>
    <c:showDLblsOverMax val="0"/>
  </c:chart>
  <c:txPr>
    <a:bodyPr/>
    <a:lstStyle/>
    <a:p>
      <a:pPr>
        <a:defRPr lang="ru-RU" sz="1000" b="0" i="0" u="none" strike="noStrike" baseline="0">
          <a:solidFill>
            <a:srgbClr val="000000"/>
          </a:solidFill>
          <a:latin typeface="Calibri" panose="020F0502020204030204"/>
          <a:ea typeface="Calibri" panose="020F0502020204030204"/>
          <a:cs typeface="Calibri" panose="020F0502020204030204"/>
        </a:defRPr>
      </a:pPr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НДФЛ</c:v>
                </c:pt>
              </c:strCache>
            </c:strRef>
          </c:tx>
          <c:spPr>
            <a:blipFill>
              <a:blip xmlns:r="http://schemas.openxmlformats.org/officeDocument/2006/relationships" r:embed="rId3"/>
              <a:tile tx="0" ty="0" sx="100000" sy="100000" flip="none" algn="tl"/>
            </a:blipFill>
            <a:scene3d>
              <a:camera prst="orthographicFront"/>
              <a:lightRig rig="threePt" dir="t"/>
            </a:scene3d>
            <a:sp3d>
              <a:bevelT w="6350"/>
              <a:bevelB w="6350" h="82550"/>
            </a:sp3d>
          </c:spPr>
          <c:invertIfNegative val="1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  <c15:leaderLines/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106.3</c:v>
                </c:pt>
                <c:pt idx="3">
                  <c:v>128.4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Зем.н.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  <c15:leaderLines/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1013.2</c:v>
                </c:pt>
                <c:pt idx="3">
                  <c:v>1153.9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с/х н.</c:v>
                </c:pt>
              </c:strCache>
            </c:strRef>
          </c:tx>
          <c:invertIfNegative val="0"/>
          <c:dLbls>
            <c:delete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257.5</c:v>
                </c:pt>
                <c:pt idx="3">
                  <c:v>1165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на им-во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  <c15:leaderLines/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Лист1!$E$2:$E$6</c:f>
              <c:numCache>
                <c:formatCode>General</c:formatCode>
                <c:ptCount val="5"/>
                <c:pt idx="0">
                  <c:v>66.5</c:v>
                </c:pt>
                <c:pt idx="3">
                  <c:v>403.9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dLbls>
            <c:delete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Лист1!$F$2:$F$6</c:f>
              <c:numCache>
                <c:formatCode>General</c:formatCode>
                <c:ptCount val="5"/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Столбец2</c:v>
                </c:pt>
              </c:strCache>
            </c:strRef>
          </c:tx>
          <c:invertIfNegative val="0"/>
          <c:dLbls>
            <c:delete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Лист1!$G$2:$G$6</c:f>
              <c:numCache>
                <c:formatCode>General</c:formatCode>
                <c:ptCount val="5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0"/>
        <c:axId val="103480704"/>
        <c:axId val="103515264"/>
      </c:barChart>
      <c:catAx>
        <c:axId val="1034807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103515264"/>
        <c:crosses val="autoZero"/>
        <c:auto val="1"/>
        <c:lblAlgn val="ctr"/>
        <c:lblOffset val="100"/>
        <c:noMultiLvlLbl val="0"/>
      </c:catAx>
      <c:valAx>
        <c:axId val="1035152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accent1"/>
              </a:solidFill>
              <a:prstDash val="solid"/>
              <a:round/>
            </a:ln>
          </c:spPr>
        </c:majorGridlines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103480704"/>
        <c:crosses val="autoZero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r"/>
      <c:legendEntry>
        <c:idx val="4"/>
        <c:delete val="1"/>
      </c:legendEntry>
      <c:legendEntry>
        <c:idx val="5"/>
        <c:delete val="1"/>
      </c:legendEntry>
      <c:layout>
        <c:manualLayout>
          <c:xMode val="edge"/>
          <c:yMode val="edge"/>
          <c:x val="0.827350427350428"/>
          <c:y val="0.385563380281693"/>
          <c:w val="0.157264957264957"/>
          <c:h val="0.253521126760563"/>
        </c:manualLayout>
      </c:layout>
      <c:overlay val="0"/>
      <c:txPr>
        <a:bodyPr rot="0" spcFirstLastPara="0" vertOverflow="ellipsis" vert="horz" wrap="square" anchor="ctr" anchorCtr="1"/>
        <a:lstStyle/>
        <a:p>
          <a:pPr>
            <a:defRPr lang="ru-RU"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txPr>
    <a:bodyPr/>
    <a:lstStyle/>
    <a:p>
      <a:pPr>
        <a:defRPr lang="ru-RU"/>
      </a:pPr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txPr>
        <a:bodyPr rot="0" spcFirstLastPara="0" vertOverflow="ellipsis" vert="horz" wrap="square" anchor="ctr" anchorCtr="1"/>
        <a:lstStyle/>
        <a:p>
          <a:pPr>
            <a:defRPr lang="ru-RU" sz="1800" b="1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view3D>
      <c:rotX val="75"/>
      <c:rotY val="0"/>
      <c:depthPercent val="10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АРЕНДА</c:v>
                </c:pt>
              </c:strCache>
            </c:strRef>
          </c:tx>
          <c:explosion val="0"/>
          <c:dPt>
            <c:idx val="0"/>
            <c:bubble3D val="0"/>
          </c:dPt>
          <c:dPt>
            <c:idx val="1"/>
            <c:bubble3D val="0"/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  <c15:showLeaderLines val="1"/>
                <c15:leaderLines/>
              </c:ext>
            </c:extLst>
          </c:dLbls>
          <c:cat>
            <c:numRef>
              <c:f>Лист1!$A$2:$A$3</c:f>
              <c:numCache>
                <c:formatCode>General</c:formatCode>
                <c:ptCount val="2"/>
                <c:pt idx="0">
                  <c:v>2024</c:v>
                </c:pt>
                <c:pt idx="1">
                  <c:v>2025</c:v>
                </c:pt>
              </c:numCache>
            </c:num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100.5</c:v>
                </c:pt>
                <c:pt idx="1">
                  <c:v>100.5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explosion val="0"/>
          <c:dPt>
            <c:idx val="0"/>
            <c:bubble3D val="0"/>
          </c:dPt>
          <c:dPt>
            <c:idx val="1"/>
            <c:bubble3D val="0"/>
          </c:dPt>
          <c:dLbls>
            <c:delete val="1"/>
          </c:dLbls>
          <c:cat>
            <c:numRef>
              <c:f>Лист1!$A$2:$A$3</c:f>
              <c:numCache>
                <c:formatCode>General</c:formatCode>
                <c:ptCount val="2"/>
                <c:pt idx="0">
                  <c:v>2024</c:v>
                </c:pt>
                <c:pt idx="1">
                  <c:v>2025</c:v>
                </c:pt>
              </c:numCache>
            </c:numRef>
          </c:cat>
          <c:val>
            <c:numRef>
              <c:f>Лист1!$C$2:$C$3</c:f>
              <c:numCache>
                <c:formatCode>General</c:formatCode>
                <c:ptCount val="2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Столбец2</c:v>
                </c:pt>
              </c:strCache>
            </c:strRef>
          </c:tx>
          <c:explosion val="0"/>
          <c:dPt>
            <c:idx val="0"/>
            <c:bubble3D val="0"/>
          </c:dPt>
          <c:dPt>
            <c:idx val="1"/>
            <c:bubble3D val="0"/>
          </c:dPt>
          <c:dLbls>
            <c:delete val="1"/>
          </c:dLbls>
          <c:cat>
            <c:numRef>
              <c:f>Лист1!$A$2:$A$3</c:f>
              <c:numCache>
                <c:formatCode>General</c:formatCode>
                <c:ptCount val="2"/>
                <c:pt idx="0">
                  <c:v>2024</c:v>
                </c:pt>
                <c:pt idx="1">
                  <c:v>2025</c:v>
                </c:pt>
              </c:numCache>
            </c:numRef>
          </c:cat>
          <c:val>
            <c:numRef>
              <c:f>Лист1!$D$2:$D$3</c:f>
              <c:numCache>
                <c:formatCode>General</c:formatCode>
                <c:ptCount val="2"/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Столбец3</c:v>
                </c:pt>
              </c:strCache>
            </c:strRef>
          </c:tx>
          <c:explosion val="0"/>
          <c:dPt>
            <c:idx val="0"/>
            <c:bubble3D val="0"/>
          </c:dPt>
          <c:dPt>
            <c:idx val="1"/>
            <c:bubble3D val="0"/>
          </c:dPt>
          <c:dLbls>
            <c:delete val="1"/>
          </c:dLbls>
          <c:cat>
            <c:numRef>
              <c:f>Лист1!$A$2:$A$3</c:f>
              <c:numCache>
                <c:formatCode>General</c:formatCode>
                <c:ptCount val="2"/>
                <c:pt idx="0">
                  <c:v>2024</c:v>
                </c:pt>
                <c:pt idx="1">
                  <c:v>2025</c:v>
                </c:pt>
              </c:numCache>
            </c:numRef>
          </c:cat>
          <c:val>
            <c:numRef>
              <c:f>Лист1!$E$2:$E$3</c:f>
              <c:numCache>
                <c:formatCode>General</c:formatCode>
                <c:ptCount val="2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</c:pie3DChart>
    </c:plotArea>
    <c:legend>
      <c:legendPos val="r"/>
      <c:layout/>
      <c:overlay val="0"/>
      <c:txPr>
        <a:bodyPr rot="0" spcFirstLastPara="0" vertOverflow="ellipsis" vert="horz" wrap="square" anchor="ctr" anchorCtr="1"/>
        <a:lstStyle/>
        <a:p>
          <a:pPr>
            <a:defRPr lang="ru-RU"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zero"/>
    <c:showDLblsOverMax val="0"/>
  </c:chart>
  <c:txPr>
    <a:bodyPr/>
    <a:lstStyle/>
    <a:p>
      <a:pPr>
        <a:defRPr lang="ru-RU"/>
      </a:pPr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Общегосударственные вопросы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9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  <c15:leaderLines/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1460.4</c:v>
                </c:pt>
                <c:pt idx="3">
                  <c:v>1608.8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Национальная оборона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9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  <c15:leaderLines/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167.2</c:v>
                </c:pt>
                <c:pt idx="3">
                  <c:v>229.4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Национальная безопасность и правоохранительная деятельность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9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  <c15:leaderLines/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57.9</c:v>
                </c:pt>
                <c:pt idx="3">
                  <c:v>36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Национальная экономика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9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  <c15:leaderLines/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Лист1!$E$2:$E$6</c:f>
              <c:numCache>
                <c:formatCode>General</c:formatCode>
                <c:ptCount val="5"/>
                <c:pt idx="0">
                  <c:v>1109</c:v>
                </c:pt>
                <c:pt idx="3">
                  <c:v>1013.5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Жилищно-коммунальное хозяйство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9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  <c15:leaderLines/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Лист1!$F$2:$F$6</c:f>
              <c:numCache>
                <c:formatCode>General</c:formatCode>
                <c:ptCount val="5"/>
                <c:pt idx="0">
                  <c:v>1523.5</c:v>
                </c:pt>
                <c:pt idx="3">
                  <c:v>1400.6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Культура, кинематография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9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  <c15:leaderLines/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Лист1!$G$2:$G$6</c:f>
              <c:numCache>
                <c:formatCode>General</c:formatCode>
                <c:ptCount val="5"/>
                <c:pt idx="0">
                  <c:v>2200.6</c:v>
                </c:pt>
                <c:pt idx="3">
                  <c:v>3001.7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Социальная политика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9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  <c15:leaderLines/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Лист1!$H$2:$H$6</c:f>
              <c:numCache>
                <c:formatCode>General</c:formatCode>
                <c:ptCount val="5"/>
                <c:pt idx="0">
                  <c:v>23.4</c:v>
                </c:pt>
                <c:pt idx="3">
                  <c:v>25.7</c:v>
                </c:pt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Физическая культура и спорт</c:v>
                </c:pt>
              </c:strCache>
            </c:strRef>
          </c:tx>
          <c:invertIfNegative val="0"/>
          <c:dLbls>
            <c:delete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2024</c:v>
                </c:pt>
                <c:pt idx="3">
                  <c:v>2025</c:v>
                </c:pt>
              </c:numCache>
            </c:numRef>
          </c:cat>
          <c:val>
            <c:numRef>
              <c:f>Лист1!$I$2:$I$6</c:f>
              <c:numCache>
                <c:formatCode>General</c:formatCode>
                <c:ptCount val="5"/>
                <c:pt idx="0">
                  <c:v>129</c:v>
                </c:pt>
                <c:pt idx="3">
                  <c:v>112.9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43944704"/>
        <c:axId val="144082432"/>
      </c:barChart>
      <c:catAx>
        <c:axId val="1439447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144082432"/>
        <c:crosses val="autoZero"/>
        <c:auto val="1"/>
        <c:lblAlgn val="ctr"/>
        <c:lblOffset val="100"/>
        <c:noMultiLvlLbl val="0"/>
      </c:catAx>
      <c:valAx>
        <c:axId val="14408243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143944704"/>
        <c:crosses val="autoZero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644366197183099"/>
          <c:y val="0.057262569832403"/>
          <c:w val="0.315907099847815"/>
          <c:h val="0.264419002419218"/>
        </c:manualLayout>
      </c:layout>
      <c:overlay val="0"/>
      <c:txPr>
        <a:bodyPr rot="0" spcFirstLastPara="0" vertOverflow="ellipsis" vert="horz" wrap="square" anchor="ctr" anchorCtr="1"/>
        <a:lstStyle/>
        <a:p>
          <a:pPr>
            <a:defRPr lang="ru-RU" sz="800" b="1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txPr>
    <a:bodyPr/>
    <a:lstStyle/>
    <a:p>
      <a:pPr>
        <a:defRPr lang="ru-RU" sz="900"/>
      </a:pPr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10</Pages>
  <Words>1738</Words>
  <Characters>9907</Characters>
  <Lines>82</Lines>
  <Paragraphs>23</Paragraphs>
  <TotalTime>3</TotalTime>
  <ScaleCrop>false</ScaleCrop>
  <LinksUpToDate>false</LinksUpToDate>
  <CharactersWithSpaces>11622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2019-03-28T02:03:00Z</dcterms:created>
  <dc:creator>Администрация</dc:creator>
  <cp:lastModifiedBy>Администрация</cp:lastModifiedBy>
  <cp:lastPrinted>2024-04-15T03:43:00Z</cp:lastPrinted>
  <dcterms:modified xsi:type="dcterms:W3CDTF">2026-04-16T03:12:31Z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F1306D88915444E49397462C3A43D687_12</vt:lpwstr>
  </property>
</Properties>
</file>