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>20.09.2013 года на сессии Краснощёковского районного Совета депутатов  Алтайского края рассмотрен вопрос о ходе реализации мер по противодействию коррупции органами местного самоуправления Краснощёковского района согласно  Федерального закона от 25.12.2008 года  № 273-ФЗ « О противодействии коррупции»  ( далее-ФЗ).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 xml:space="preserve">         В Краснощёковском   районе  принимаются следующие  меры   по противодействию коррупции: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 xml:space="preserve">  1). Проведение  антикоррупционной экспертизы   нормативных правовых актов и их проектов (  ст.9 ФЗ), в связи с чем  в  муниципальных образованиях района утвержден порядок  проведения  антикоррупционной экспертизы   НПА.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 xml:space="preserve">          2).  Согласно ст. 9 ФЗ , муниципальные   служащие  обязаны   уведомлять работодателя  об обращениях в целях склонения  их к совершению коррупционных правонарушений, в связи  чем в  муниципальных  образованиях  района  утвержден порядок  уведомления представителя нанимателя о фактах обращения в целях склонения к совершению коррупционных правонарушений  муниципальных служащих.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 xml:space="preserve">3). На основании ст. 8 ФЗ ,  муниципальные служащие обязаны  представлять  сведения о  своих доходах, об имуществе и обязательствах имущественного характера, а также сведения  о доходах, имуществе и обязательствах имущественного характера своих супруги ( супруга) и несовершеннолетних детей, в связи с чем в муниципальных образованиях района утверждены положения о предоставлении  гражданином , претендующим на замещение должности муниципальной службы и  предоставлении муниципальным служащим сведений  о  своих доходах, об имуществе и обязательствах имущественного характера, а также сведения  о доходах, имуществе и обязательствах имущественного характера своих супруги ( супруга) и несовершеннолетних детей, определены должности, при замещении которых обязательно предоставление  справок о доходах, утверждены формы справок.  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bookmarkStart w:id="0" w:name="sub_2754"/>
      <w:r>
        <w:rPr>
          <w:rFonts w:ascii="Calibri" w:hAnsi="Calibri" w:cs="Tahoma"/>
          <w:color w:val="2575B3"/>
          <w:sz w:val="28"/>
          <w:szCs w:val="28"/>
        </w:rPr>
        <w:t xml:space="preserve">      4). В целях противодействия коррупции, 03.12.2012 года  принят ФЗ  № 230-ФЗ « О контроле за соответствием расходов лиц, замещающих государственные должности и иных лиц их доходам», в связи с чем в муниципальных образованиях района приняты положения о предоставлении сведений о расходах, определены должности, при замещении которых обязательно предоставление  справок о расходах, утверждены формы справок.</w:t>
      </w:r>
      <w:bookmarkEnd w:id="0"/>
    </w:p>
    <w:p w:rsidR="002454DB" w:rsidRDefault="002454DB" w:rsidP="002454DB">
      <w:pPr>
        <w:pStyle w:val="a3"/>
        <w:jc w:val="center"/>
        <w:rPr>
          <w:rFonts w:ascii="Tahoma" w:hAnsi="Tahoma" w:cs="Tahoma"/>
          <w:color w:val="706D6D"/>
          <w:sz w:val="20"/>
          <w:szCs w:val="20"/>
        </w:rPr>
      </w:pPr>
      <w:r>
        <w:rPr>
          <w:rFonts w:ascii="Tahoma" w:hAnsi="Tahoma" w:cs="Tahoma"/>
          <w:color w:val="706D6D"/>
          <w:sz w:val="20"/>
          <w:szCs w:val="20"/>
        </w:rPr>
        <w:t> 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 xml:space="preserve">   5).  Предотвращение  и урегулирование конфликта интересов на муниципальной службе ( ст. 11 ФЗ), в связи с чем в муниципальных  образованиях района  утверждены  положения по урегулированию </w:t>
      </w:r>
      <w:r>
        <w:rPr>
          <w:rFonts w:ascii="Calibri" w:hAnsi="Calibri" w:cs="Tahoma"/>
          <w:color w:val="706D6D"/>
          <w:sz w:val="28"/>
          <w:szCs w:val="28"/>
        </w:rPr>
        <w:lastRenderedPageBreak/>
        <w:t>конфликта интересов, созданы комиссии  по урегулированию конфликта интересов.</w:t>
      </w:r>
    </w:p>
    <w:p w:rsidR="002454DB" w:rsidRDefault="002454DB" w:rsidP="002454DB">
      <w:pPr>
        <w:pStyle w:val="a4"/>
        <w:spacing w:after="0"/>
        <w:jc w:val="both"/>
        <w:rPr>
          <w:rFonts w:ascii="Tahoma" w:hAnsi="Tahoma" w:cs="Tahoma"/>
          <w:color w:val="706D6D"/>
          <w:sz w:val="20"/>
          <w:szCs w:val="20"/>
        </w:rPr>
      </w:pPr>
      <w:r>
        <w:rPr>
          <w:rFonts w:ascii="Calibri" w:hAnsi="Calibri" w:cs="Tahoma"/>
          <w:color w:val="706D6D"/>
          <w:sz w:val="28"/>
          <w:szCs w:val="28"/>
        </w:rPr>
        <w:t xml:space="preserve">    6).</w:t>
      </w:r>
      <w:r>
        <w:rPr>
          <w:rStyle w:val="a5"/>
          <w:bCs/>
          <w:color w:val="26282F"/>
          <w:sz w:val="28"/>
          <w:szCs w:val="28"/>
        </w:rPr>
        <w:t xml:space="preserve"> </w:t>
      </w:r>
      <w:r>
        <w:rPr>
          <w:rFonts w:ascii="Calibri" w:hAnsi="Calibri" w:cs="Tahoma"/>
          <w:color w:val="706D6D"/>
          <w:sz w:val="28"/>
          <w:szCs w:val="28"/>
        </w:rP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 ст 7.1 –ФЗ).</w:t>
      </w:r>
      <w:bookmarkStart w:id="1" w:name="sub_71118"/>
      <w:r>
        <w:rPr>
          <w:rFonts w:ascii="Calibri" w:hAnsi="Calibri" w:cs="Tahoma"/>
          <w:color w:val="2575B3"/>
          <w:sz w:val="28"/>
          <w:szCs w:val="28"/>
        </w:rPr>
        <w:t xml:space="preserve"> Данный запрет касается главы муниципального района. </w:t>
      </w:r>
      <w:bookmarkEnd w:id="1"/>
      <w:r>
        <w:rPr>
          <w:rFonts w:ascii="Calibri" w:hAnsi="Calibri" w:cs="Tahoma"/>
          <w:color w:val="706D6D"/>
          <w:sz w:val="28"/>
          <w:szCs w:val="28"/>
        </w:rPr>
        <w:t xml:space="preserve">  В связи с чем, в Устав района внесены соответствующие дополнения. Не соблюдения данного запрета является основанием для досрочного прекращения полномочий главы района.</w:t>
      </w:r>
    </w:p>
    <w:p w:rsidR="0016001E" w:rsidRDefault="0016001E"/>
    <w:sectPr w:rsidR="0016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2454DB"/>
    <w:rsid w:val="0016001E"/>
    <w:rsid w:val="0024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DB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2454DB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24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>Romeo1994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Nik-PK</dc:creator>
  <cp:keywords/>
  <dc:description/>
  <cp:lastModifiedBy>Nik-PK</cp:lastModifiedBy>
  <cp:revision>3</cp:revision>
  <dcterms:created xsi:type="dcterms:W3CDTF">2016-11-18T04:19:00Z</dcterms:created>
  <dcterms:modified xsi:type="dcterms:W3CDTF">2016-11-18T04:19:00Z</dcterms:modified>
</cp:coreProperties>
</file>